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76D" w:rsidRPr="00AF176D" w:rsidRDefault="00AF176D" w:rsidP="00AF176D">
      <w:pPr>
        <w:pStyle w:val="a3"/>
        <w:spacing w:line="216" w:lineRule="auto"/>
        <w:ind w:right="141"/>
        <w:contextualSpacing/>
        <w:jc w:val="right"/>
        <w:rPr>
          <w:rFonts w:ascii="Times New Roman" w:hAnsi="Times New Roman" w:cs="Times New Roman"/>
          <w:sz w:val="24"/>
          <w:szCs w:val="24"/>
        </w:rPr>
      </w:pPr>
      <w:bookmarkStart w:id="0" w:name="_GoBack"/>
      <w:r w:rsidRPr="00AF176D">
        <w:rPr>
          <w:rFonts w:ascii="Times New Roman" w:hAnsi="Times New Roman" w:cs="Times New Roman"/>
          <w:sz w:val="24"/>
          <w:szCs w:val="24"/>
        </w:rPr>
        <w:t>Приложение</w:t>
      </w:r>
      <w:r w:rsidRPr="00AF176D">
        <w:rPr>
          <w:rFonts w:ascii="Times New Roman" w:hAnsi="Times New Roman" w:cs="Times New Roman"/>
          <w:sz w:val="24"/>
          <w:szCs w:val="24"/>
        </w:rPr>
        <w:t xml:space="preserve"> 1</w:t>
      </w:r>
      <w:r w:rsidRPr="00AF176D">
        <w:rPr>
          <w:rFonts w:ascii="Times New Roman" w:hAnsi="Times New Roman" w:cs="Times New Roman"/>
          <w:sz w:val="24"/>
          <w:szCs w:val="24"/>
        </w:rPr>
        <w:t xml:space="preserve"> </w:t>
      </w:r>
    </w:p>
    <w:p w:rsidR="00AF176D" w:rsidRPr="00AF176D" w:rsidRDefault="00AF176D" w:rsidP="00AF176D">
      <w:pPr>
        <w:pStyle w:val="a3"/>
        <w:spacing w:line="216" w:lineRule="auto"/>
        <w:ind w:right="141"/>
        <w:contextualSpacing/>
        <w:jc w:val="right"/>
        <w:rPr>
          <w:rFonts w:ascii="Times New Roman" w:hAnsi="Times New Roman" w:cs="Times New Roman"/>
          <w:bCs/>
          <w:sz w:val="24"/>
          <w:szCs w:val="24"/>
        </w:rPr>
      </w:pPr>
      <w:r w:rsidRPr="00AF176D">
        <w:rPr>
          <w:rFonts w:ascii="Times New Roman" w:hAnsi="Times New Roman" w:cs="Times New Roman"/>
          <w:sz w:val="24"/>
          <w:szCs w:val="24"/>
        </w:rPr>
        <w:t xml:space="preserve"> </w:t>
      </w:r>
      <w:proofErr w:type="gramStart"/>
      <w:r w:rsidRPr="00AF176D">
        <w:rPr>
          <w:rFonts w:ascii="Times New Roman" w:hAnsi="Times New Roman" w:cs="Times New Roman"/>
          <w:sz w:val="24"/>
          <w:szCs w:val="24"/>
        </w:rPr>
        <w:t>к</w:t>
      </w:r>
      <w:proofErr w:type="gramEnd"/>
      <w:r w:rsidRPr="00AF176D">
        <w:rPr>
          <w:rFonts w:ascii="Times New Roman" w:hAnsi="Times New Roman" w:cs="Times New Roman"/>
          <w:sz w:val="24"/>
          <w:szCs w:val="24"/>
        </w:rPr>
        <w:t xml:space="preserve"> приказу </w:t>
      </w:r>
      <w:r w:rsidRPr="00AF176D">
        <w:rPr>
          <w:rFonts w:ascii="Times New Roman" w:hAnsi="Times New Roman" w:cs="Times New Roman"/>
          <w:bCs/>
          <w:sz w:val="24"/>
          <w:szCs w:val="24"/>
        </w:rPr>
        <w:t>Департамента строительства,</w:t>
      </w:r>
    </w:p>
    <w:p w:rsidR="00AF176D" w:rsidRPr="00AF176D" w:rsidRDefault="00AF176D" w:rsidP="00AF176D">
      <w:pPr>
        <w:widowControl w:val="0"/>
        <w:tabs>
          <w:tab w:val="left" w:pos="993"/>
        </w:tabs>
        <w:spacing w:line="216" w:lineRule="auto"/>
        <w:ind w:right="141"/>
        <w:contextualSpacing/>
        <w:jc w:val="right"/>
        <w:rPr>
          <w:rFonts w:ascii="Times New Roman" w:hAnsi="Times New Roman" w:cs="Times New Roman"/>
          <w:bCs/>
          <w:sz w:val="24"/>
          <w:szCs w:val="24"/>
        </w:rPr>
      </w:pPr>
      <w:proofErr w:type="gramStart"/>
      <w:r w:rsidRPr="00AF176D">
        <w:rPr>
          <w:rFonts w:ascii="Times New Roman" w:hAnsi="Times New Roman" w:cs="Times New Roman"/>
          <w:bCs/>
          <w:sz w:val="24"/>
          <w:szCs w:val="24"/>
        </w:rPr>
        <w:t>архитектуры</w:t>
      </w:r>
      <w:proofErr w:type="gramEnd"/>
      <w:r w:rsidRPr="00AF176D">
        <w:rPr>
          <w:rFonts w:ascii="Times New Roman" w:hAnsi="Times New Roman" w:cs="Times New Roman"/>
          <w:bCs/>
          <w:sz w:val="24"/>
          <w:szCs w:val="24"/>
        </w:rPr>
        <w:t xml:space="preserve"> и ЖКХ администрации </w:t>
      </w:r>
    </w:p>
    <w:p w:rsidR="00AF176D" w:rsidRPr="00AF176D" w:rsidRDefault="00AF176D" w:rsidP="00AF176D">
      <w:pPr>
        <w:widowControl w:val="0"/>
        <w:tabs>
          <w:tab w:val="left" w:pos="993"/>
        </w:tabs>
        <w:spacing w:line="216" w:lineRule="auto"/>
        <w:ind w:right="141"/>
        <w:contextualSpacing/>
        <w:jc w:val="right"/>
        <w:rPr>
          <w:rFonts w:ascii="Times New Roman" w:hAnsi="Times New Roman" w:cs="Times New Roman"/>
          <w:bCs/>
          <w:sz w:val="24"/>
          <w:szCs w:val="24"/>
        </w:rPr>
      </w:pPr>
      <w:r w:rsidRPr="00AF176D">
        <w:rPr>
          <w:rFonts w:ascii="Times New Roman" w:hAnsi="Times New Roman" w:cs="Times New Roman"/>
          <w:bCs/>
          <w:sz w:val="24"/>
          <w:szCs w:val="24"/>
        </w:rPr>
        <w:t>Ханты-Мансийского района</w:t>
      </w:r>
    </w:p>
    <w:p w:rsidR="00AF176D" w:rsidRPr="00AF176D" w:rsidRDefault="00AF176D" w:rsidP="00AF176D">
      <w:pPr>
        <w:widowControl w:val="0"/>
        <w:tabs>
          <w:tab w:val="left" w:pos="993"/>
        </w:tabs>
        <w:spacing w:line="216" w:lineRule="auto"/>
        <w:ind w:right="141"/>
        <w:contextualSpacing/>
        <w:jc w:val="right"/>
        <w:rPr>
          <w:rFonts w:ascii="Times New Roman" w:hAnsi="Times New Roman" w:cs="Times New Roman"/>
          <w:bCs/>
          <w:sz w:val="24"/>
          <w:szCs w:val="24"/>
        </w:rPr>
      </w:pPr>
      <w:proofErr w:type="gramStart"/>
      <w:r>
        <w:rPr>
          <w:rFonts w:ascii="Times New Roman" w:hAnsi="Times New Roman" w:cs="Times New Roman"/>
          <w:bCs/>
          <w:sz w:val="24"/>
          <w:szCs w:val="24"/>
        </w:rPr>
        <w:t>от</w:t>
      </w:r>
      <w:proofErr w:type="gramEnd"/>
      <w:r>
        <w:rPr>
          <w:rFonts w:ascii="Times New Roman" w:hAnsi="Times New Roman" w:cs="Times New Roman"/>
          <w:bCs/>
          <w:sz w:val="24"/>
          <w:szCs w:val="24"/>
        </w:rPr>
        <w:t xml:space="preserve"> 10.06</w:t>
      </w:r>
      <w:r w:rsidRPr="00AF176D">
        <w:rPr>
          <w:rFonts w:ascii="Times New Roman" w:hAnsi="Times New Roman" w:cs="Times New Roman"/>
          <w:bCs/>
          <w:sz w:val="24"/>
          <w:szCs w:val="24"/>
        </w:rPr>
        <w:t>.2021 №1</w:t>
      </w:r>
      <w:r>
        <w:rPr>
          <w:rFonts w:ascii="Times New Roman" w:hAnsi="Times New Roman" w:cs="Times New Roman"/>
          <w:bCs/>
          <w:sz w:val="24"/>
          <w:szCs w:val="24"/>
        </w:rPr>
        <w:t>46</w:t>
      </w:r>
      <w:r w:rsidRPr="00AF176D">
        <w:rPr>
          <w:rFonts w:ascii="Times New Roman" w:hAnsi="Times New Roman" w:cs="Times New Roman"/>
          <w:bCs/>
          <w:sz w:val="24"/>
          <w:szCs w:val="24"/>
        </w:rPr>
        <w:t>-н</w:t>
      </w:r>
    </w:p>
    <w:bookmarkEnd w:id="0"/>
    <w:p w:rsidR="00D232F3" w:rsidRPr="00FE704B" w:rsidRDefault="00D232F3" w:rsidP="000B6BC8">
      <w:pPr>
        <w:widowControl w:val="0"/>
        <w:tabs>
          <w:tab w:val="left" w:pos="993"/>
        </w:tabs>
        <w:spacing w:after="0" w:line="216" w:lineRule="auto"/>
        <w:ind w:right="142"/>
        <w:contextualSpacing/>
        <w:jc w:val="right"/>
        <w:rPr>
          <w:rFonts w:ascii="Times New Roman" w:hAnsi="Times New Roman" w:cs="Times New Roman"/>
          <w:bCs/>
          <w:sz w:val="18"/>
          <w:szCs w:val="18"/>
        </w:rPr>
      </w:pPr>
    </w:p>
    <w:p w:rsidR="00940A90" w:rsidRDefault="00AF176D" w:rsidP="000B6BC8">
      <w:pPr>
        <w:spacing w:after="0" w:line="216" w:lineRule="auto"/>
        <w:ind w:right="142"/>
        <w:contextualSpacing/>
        <w:jc w:val="right"/>
        <w:rPr>
          <w:rFonts w:ascii="Times New Roman" w:hAnsi="Times New Roman" w:cs="Times New Roman"/>
          <w:bCs/>
          <w:noProof/>
          <w:sz w:val="18"/>
          <w:szCs w:val="18"/>
          <w:lang w:eastAsia="ru-RU"/>
        </w:rPr>
      </w:pPr>
      <w:r w:rsidRPr="00AF176D">
        <w:rPr>
          <w:noProof/>
          <w:sz w:val="20"/>
          <w:szCs w:val="20"/>
          <w:lang w:eastAsia="ru-RU"/>
        </w:rPr>
        <w:drawing>
          <wp:anchor distT="0" distB="0" distL="114300" distR="114300" simplePos="0" relativeHeight="251659776" behindDoc="1" locked="0" layoutInCell="1" allowOverlap="1" wp14:anchorId="4586F676" wp14:editId="65A9E355">
            <wp:simplePos x="0" y="0"/>
            <wp:positionH relativeFrom="column">
              <wp:posOffset>-5715</wp:posOffset>
            </wp:positionH>
            <wp:positionV relativeFrom="paragraph">
              <wp:posOffset>83820</wp:posOffset>
            </wp:positionV>
            <wp:extent cx="5794476" cy="8193405"/>
            <wp:effectExtent l="0" t="0" r="0" b="0"/>
            <wp:wrapNone/>
            <wp:docPr id="2" name="Рисунок 2" descr="C:\Users\user\Desktop\приобьнипи\916\ч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риобьнипи\916\ч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94577" cy="819354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66857" w:rsidRDefault="00866857" w:rsidP="00AF176D">
      <w:pPr>
        <w:ind w:right="-851"/>
        <w:jc w:val="center"/>
      </w:pPr>
    </w:p>
    <w:p w:rsidR="00866857" w:rsidRDefault="00866857" w:rsidP="00AC508B">
      <w:pPr>
        <w:ind w:right="-851"/>
      </w:pPr>
    </w:p>
    <w:p w:rsidR="00866857" w:rsidRDefault="00866857" w:rsidP="00AC508B">
      <w:pPr>
        <w:ind w:right="-851"/>
      </w:pPr>
    </w:p>
    <w:p w:rsidR="00866857" w:rsidRDefault="00866857" w:rsidP="00AC508B">
      <w:pPr>
        <w:ind w:right="-851"/>
      </w:pPr>
    </w:p>
    <w:p w:rsidR="00866857" w:rsidRDefault="00866857" w:rsidP="00AC508B">
      <w:pPr>
        <w:ind w:right="-851"/>
      </w:pPr>
    </w:p>
    <w:p w:rsidR="00866857" w:rsidRDefault="00866857" w:rsidP="00AC508B">
      <w:pPr>
        <w:ind w:right="-851"/>
      </w:pPr>
    </w:p>
    <w:p w:rsidR="00866857" w:rsidRDefault="00866857" w:rsidP="00AC508B">
      <w:pPr>
        <w:ind w:right="-851"/>
      </w:pPr>
    </w:p>
    <w:p w:rsidR="00D232F3" w:rsidRDefault="00D232F3" w:rsidP="00AC508B">
      <w:pPr>
        <w:ind w:right="-851"/>
      </w:pPr>
    </w:p>
    <w:p w:rsidR="003A2EC9" w:rsidRDefault="003A2EC9">
      <w:r>
        <w:br w:type="page"/>
      </w:r>
    </w:p>
    <w:p w:rsidR="00D232F3" w:rsidRDefault="00D232F3" w:rsidP="00AC508B">
      <w:pPr>
        <w:ind w:right="-851"/>
      </w:pPr>
    </w:p>
    <w:tbl>
      <w:tblPr>
        <w:tblpPr w:leftFromText="180" w:rightFromText="180" w:vertAnchor="text" w:horzAnchor="margin" w:tblpY="326"/>
        <w:tblW w:w="9802" w:type="dxa"/>
        <w:tblLook w:val="04A0" w:firstRow="1" w:lastRow="0" w:firstColumn="1" w:lastColumn="0" w:noHBand="0" w:noVBand="1"/>
      </w:tblPr>
      <w:tblGrid>
        <w:gridCol w:w="3267"/>
        <w:gridCol w:w="3267"/>
        <w:gridCol w:w="3268"/>
      </w:tblGrid>
      <w:tr w:rsidR="003A2EC9" w:rsidRPr="00970CF0" w:rsidTr="003A2EC9">
        <w:trPr>
          <w:trHeight w:val="675"/>
        </w:trPr>
        <w:tc>
          <w:tcPr>
            <w:tcW w:w="9802" w:type="dxa"/>
            <w:gridSpan w:val="3"/>
            <w:tcBorders>
              <w:bottom w:val="single" w:sz="4" w:space="0" w:color="auto"/>
            </w:tcBorders>
            <w:shd w:val="clear" w:color="auto" w:fill="auto"/>
            <w:vAlign w:val="center"/>
            <w:hideMark/>
          </w:tcPr>
          <w:p w:rsidR="003A2EC9" w:rsidRPr="00970CF0" w:rsidRDefault="003A2EC9" w:rsidP="003A2EC9">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2. </w:t>
            </w:r>
            <w:r w:rsidRPr="00970CF0">
              <w:rPr>
                <w:rFonts w:ascii="Times New Roman" w:eastAsia="Times New Roman" w:hAnsi="Times New Roman" w:cs="Times New Roman"/>
                <w:b/>
                <w:sz w:val="20"/>
                <w:szCs w:val="20"/>
                <w:lang w:eastAsia="ru-RU"/>
              </w:rPr>
              <w:t>Каталог характерных точек границы зоны размещения объекта</w:t>
            </w:r>
          </w:p>
        </w:tc>
      </w:tr>
      <w:tr w:rsidR="003A2EC9" w:rsidRPr="00970CF0" w:rsidTr="003A2EC9">
        <w:trPr>
          <w:trHeight w:val="300"/>
        </w:trPr>
        <w:tc>
          <w:tcPr>
            <w:tcW w:w="3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2EC9" w:rsidRPr="008C2178" w:rsidRDefault="003A2EC9" w:rsidP="003A2EC9">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номер точки</w:t>
            </w:r>
          </w:p>
        </w:tc>
        <w:tc>
          <w:tcPr>
            <w:tcW w:w="3267" w:type="dxa"/>
            <w:tcBorders>
              <w:top w:val="single" w:sz="4" w:space="0" w:color="auto"/>
              <w:left w:val="nil"/>
              <w:bottom w:val="single" w:sz="4" w:space="0" w:color="auto"/>
              <w:right w:val="single" w:sz="4" w:space="0" w:color="auto"/>
            </w:tcBorders>
            <w:shd w:val="clear" w:color="auto" w:fill="auto"/>
            <w:vAlign w:val="center"/>
            <w:hideMark/>
          </w:tcPr>
          <w:p w:rsidR="003A2EC9" w:rsidRPr="008C2178" w:rsidRDefault="003A2EC9" w:rsidP="003A2EC9">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Х</w:t>
            </w:r>
          </w:p>
        </w:tc>
        <w:tc>
          <w:tcPr>
            <w:tcW w:w="3268" w:type="dxa"/>
            <w:tcBorders>
              <w:top w:val="single" w:sz="4" w:space="0" w:color="auto"/>
              <w:left w:val="nil"/>
              <w:bottom w:val="single" w:sz="4" w:space="0" w:color="auto"/>
              <w:right w:val="single" w:sz="4" w:space="0" w:color="auto"/>
            </w:tcBorders>
            <w:shd w:val="clear" w:color="auto" w:fill="auto"/>
            <w:vAlign w:val="center"/>
            <w:hideMark/>
          </w:tcPr>
          <w:p w:rsidR="003A2EC9" w:rsidRPr="008C2178" w:rsidRDefault="003A2EC9" w:rsidP="003A2EC9">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У</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1030033.17</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2618066.14</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1030032.26</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2618137.28</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3</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1030029.69</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2618337.25</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4</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1030024.77</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2618716.59</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5</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1029374.34</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2618708.19</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6</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1029376.33</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2618553.00</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7</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1029376.61</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2618492.59</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8</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1029287.10</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2618492.67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9</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1029263.35</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2618492.67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1029249.94</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2618492.67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11</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1029213.00</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2618492.67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12</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2618492.67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13</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2618489.83</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14</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2618358.83</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15</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1028948.19</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2618357.54</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16</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1028952.39</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2618057.53</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17</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1029166.51</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2618060.53</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18</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1029166.50</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2618033.47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19</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1029426.48</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2618033.47</w:t>
            </w:r>
          </w:p>
        </w:tc>
      </w:tr>
      <w:tr w:rsidR="003A2EC9" w:rsidRPr="00970CF0" w:rsidTr="003A2EC9">
        <w:trPr>
          <w:trHeight w:val="390"/>
        </w:trPr>
        <w:tc>
          <w:tcPr>
            <w:tcW w:w="3267" w:type="dxa"/>
            <w:tcBorders>
              <w:top w:val="nil"/>
              <w:left w:val="single" w:sz="4" w:space="0" w:color="auto"/>
              <w:bottom w:val="single" w:sz="4" w:space="0" w:color="auto"/>
              <w:right w:val="single" w:sz="4" w:space="0" w:color="auto"/>
            </w:tcBorders>
            <w:shd w:val="clear" w:color="auto" w:fill="auto"/>
            <w:noWrap/>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20</w:t>
            </w:r>
          </w:p>
        </w:tc>
        <w:tc>
          <w:tcPr>
            <w:tcW w:w="3267"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1029426.48</w:t>
            </w:r>
          </w:p>
        </w:tc>
        <w:tc>
          <w:tcPr>
            <w:tcW w:w="3268" w:type="dxa"/>
            <w:tcBorders>
              <w:top w:val="nil"/>
              <w:left w:val="nil"/>
              <w:bottom w:val="single" w:sz="4" w:space="0" w:color="auto"/>
              <w:right w:val="single" w:sz="4" w:space="0" w:color="auto"/>
            </w:tcBorders>
            <w:shd w:val="clear" w:color="auto" w:fill="auto"/>
            <w:vAlign w:val="bottom"/>
          </w:tcPr>
          <w:p w:rsidR="003A2EC9" w:rsidRPr="00A84CA7" w:rsidRDefault="003A2EC9" w:rsidP="003A2EC9">
            <w:pPr>
              <w:pStyle w:val="aa"/>
              <w:spacing w:line="240" w:lineRule="auto"/>
              <w:ind w:firstLine="0"/>
              <w:jc w:val="center"/>
              <w:rPr>
                <w:color w:val="000000" w:themeColor="text1"/>
              </w:rPr>
            </w:pPr>
            <w:r w:rsidRPr="00A84CA7">
              <w:rPr>
                <w:color w:val="000000" w:themeColor="text1"/>
              </w:rPr>
              <w:t>2618058.32</w:t>
            </w:r>
          </w:p>
        </w:tc>
      </w:tr>
    </w:tbl>
    <w:p w:rsidR="003A2EC9" w:rsidRDefault="003A2EC9">
      <w:r>
        <w:br w:type="page"/>
      </w:r>
    </w:p>
    <w:p w:rsidR="00D232F3" w:rsidRDefault="00D232F3" w:rsidP="00AC508B">
      <w:pPr>
        <w:ind w:right="-851"/>
      </w:pPr>
    </w:p>
    <w:p w:rsidR="009403AB" w:rsidRPr="009403AB" w:rsidRDefault="003F2EEF" w:rsidP="009403AB">
      <w:pPr>
        <w:tabs>
          <w:tab w:val="left" w:pos="1134"/>
        </w:tabs>
        <w:spacing w:line="240" w:lineRule="auto"/>
        <w:ind w:left="142" w:right="84"/>
        <w:jc w:val="center"/>
        <w:rPr>
          <w:rFonts w:ascii="Times New Roman" w:eastAsia="Times New Roman" w:hAnsi="Times New Roman" w:cs="Times New Roman"/>
          <w:b/>
          <w:sz w:val="24"/>
          <w:szCs w:val="24"/>
          <w:lang w:eastAsia="ru-RU"/>
        </w:rPr>
      </w:pPr>
      <w:r>
        <w:tab/>
      </w:r>
      <w:r w:rsidR="009403AB" w:rsidRPr="009403AB">
        <w:rPr>
          <w:rFonts w:ascii="Times New Roman" w:eastAsia="Times New Roman" w:hAnsi="Times New Roman" w:cs="Times New Roman"/>
          <w:b/>
          <w:sz w:val="24"/>
          <w:szCs w:val="24"/>
          <w:lang w:eastAsia="ru-RU"/>
        </w:rPr>
        <w:t>2. Положение о размещении объектов</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2.1 Наименование, основные характеристики и назначение проектируемых для размещения   объектов</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8C2178" w:rsidRPr="00995BFD" w:rsidRDefault="008C2178" w:rsidP="008C2178">
      <w:pPr>
        <w:pStyle w:val="ab"/>
        <w:suppressAutoHyphens/>
        <w:ind w:left="0" w:firstLine="709"/>
        <w:jc w:val="both"/>
        <w:rPr>
          <w:rFonts w:ascii="Times New Roman" w:hAnsi="Times New Roman"/>
          <w:iCs/>
          <w:w w:val="102"/>
          <w:kern w:val="28"/>
          <w:sz w:val="24"/>
          <w:szCs w:val="24"/>
          <w:lang w:eastAsia="ru-RU"/>
        </w:rPr>
      </w:pPr>
      <w:r w:rsidRPr="00995BFD">
        <w:rPr>
          <w:rFonts w:ascii="Times New Roman" w:hAnsi="Times New Roman"/>
          <w:iCs/>
          <w:w w:val="102"/>
          <w:kern w:val="28"/>
          <w:sz w:val="24"/>
          <w:szCs w:val="24"/>
          <w:lang w:eastAsia="ru-RU"/>
        </w:rPr>
        <w:t>Проектом предусматриваются следующие объекты:</w:t>
      </w:r>
    </w:p>
    <w:p w:rsidR="008C2178" w:rsidRPr="00995BFD" w:rsidRDefault="008C2178" w:rsidP="008C2178">
      <w:pPr>
        <w:pStyle w:val="ab"/>
        <w:suppressAutoHyphens/>
        <w:ind w:left="0" w:firstLine="709"/>
        <w:jc w:val="both"/>
        <w:rPr>
          <w:rFonts w:ascii="Times New Roman" w:hAnsi="Times New Roman"/>
          <w:iCs/>
          <w:w w:val="102"/>
          <w:kern w:val="28"/>
          <w:sz w:val="24"/>
          <w:szCs w:val="24"/>
          <w:lang w:eastAsia="ru-RU"/>
        </w:rPr>
      </w:pPr>
      <w:r w:rsidRPr="00995BFD">
        <w:rPr>
          <w:rFonts w:ascii="Times New Roman" w:hAnsi="Times New Roman"/>
          <w:iCs/>
          <w:w w:val="102"/>
          <w:kern w:val="28"/>
          <w:sz w:val="24"/>
          <w:szCs w:val="24"/>
          <w:lang w:eastAsia="ru-RU"/>
        </w:rPr>
        <w:t>Кустовая площадка №2 на 4 добывающих скважины;</w:t>
      </w:r>
    </w:p>
    <w:p w:rsidR="008C2178" w:rsidRPr="00995BFD" w:rsidRDefault="008C2178" w:rsidP="008C2178">
      <w:pPr>
        <w:pStyle w:val="ab"/>
        <w:suppressAutoHyphens/>
        <w:spacing w:after="0"/>
        <w:ind w:left="0" w:firstLine="709"/>
        <w:jc w:val="both"/>
        <w:rPr>
          <w:rFonts w:ascii="Times New Roman" w:hAnsi="Times New Roman"/>
          <w:iCs/>
          <w:w w:val="102"/>
          <w:kern w:val="28"/>
          <w:sz w:val="24"/>
          <w:szCs w:val="24"/>
          <w:lang w:eastAsia="ru-RU"/>
        </w:rPr>
      </w:pPr>
      <w:r w:rsidRPr="00995BFD">
        <w:rPr>
          <w:rFonts w:ascii="Times New Roman" w:hAnsi="Times New Roman"/>
          <w:iCs/>
          <w:w w:val="102"/>
          <w:kern w:val="28"/>
          <w:sz w:val="24"/>
          <w:szCs w:val="24"/>
          <w:lang w:eastAsia="ru-RU"/>
        </w:rPr>
        <w:t>Нефтегазосборный трубопровод от Куста №2 до т. врезки (протяженность 42м, диаметр 159х8мм);</w:t>
      </w:r>
    </w:p>
    <w:p w:rsidR="008C2178" w:rsidRPr="00995BFD" w:rsidRDefault="008C2178" w:rsidP="008C2178">
      <w:pPr>
        <w:pStyle w:val="2"/>
        <w:tabs>
          <w:tab w:val="left" w:pos="10206"/>
        </w:tabs>
        <w:spacing w:after="0" w:line="240" w:lineRule="auto"/>
        <w:ind w:firstLine="709"/>
        <w:jc w:val="both"/>
        <w:rPr>
          <w:rFonts w:ascii="Times New Roman" w:hAnsi="Times New Roman"/>
          <w:iCs/>
          <w:w w:val="102"/>
          <w:kern w:val="28"/>
          <w:sz w:val="24"/>
          <w:szCs w:val="24"/>
          <w:lang w:eastAsia="ru-RU"/>
        </w:rPr>
      </w:pPr>
      <w:r w:rsidRPr="00995BFD">
        <w:rPr>
          <w:rFonts w:ascii="Times New Roman" w:hAnsi="Times New Roman"/>
          <w:iCs/>
          <w:w w:val="102"/>
          <w:kern w:val="28"/>
          <w:sz w:val="24"/>
          <w:szCs w:val="24"/>
          <w:lang w:eastAsia="ru-RU"/>
        </w:rPr>
        <w:t xml:space="preserve">Функциональное назначение объекта «Обустройство куста №2 </w:t>
      </w:r>
      <w:proofErr w:type="spellStart"/>
      <w:r w:rsidRPr="00995BFD">
        <w:rPr>
          <w:rFonts w:ascii="Times New Roman" w:hAnsi="Times New Roman"/>
          <w:iCs/>
          <w:w w:val="102"/>
          <w:kern w:val="28"/>
          <w:sz w:val="24"/>
          <w:szCs w:val="24"/>
          <w:lang w:eastAsia="ru-RU"/>
        </w:rPr>
        <w:t>Галяновского</w:t>
      </w:r>
      <w:proofErr w:type="spellEnd"/>
      <w:r w:rsidRPr="00995BFD">
        <w:rPr>
          <w:rFonts w:ascii="Times New Roman" w:hAnsi="Times New Roman"/>
          <w:iCs/>
          <w:w w:val="102"/>
          <w:kern w:val="28"/>
          <w:sz w:val="24"/>
          <w:szCs w:val="24"/>
          <w:lang w:eastAsia="ru-RU"/>
        </w:rPr>
        <w:t xml:space="preserve"> месторождения»: добыча, сбор и транспорт нефти.</w:t>
      </w:r>
    </w:p>
    <w:p w:rsidR="008C2178" w:rsidRPr="00995BFD" w:rsidRDefault="008C2178" w:rsidP="008C2178">
      <w:pPr>
        <w:pStyle w:val="aa"/>
        <w:spacing w:line="240" w:lineRule="auto"/>
        <w:ind w:left="142"/>
        <w:rPr>
          <w:iCs/>
          <w:w w:val="102"/>
          <w:kern w:val="28"/>
        </w:rPr>
      </w:pPr>
      <w:r w:rsidRPr="00995BFD">
        <w:rPr>
          <w:iCs/>
          <w:w w:val="102"/>
          <w:kern w:val="28"/>
        </w:rPr>
        <w:t xml:space="preserve">Таблица 1 - Основные </w:t>
      </w:r>
      <w:r w:rsidRPr="00995BFD">
        <w:rPr>
          <w:color w:val="000000" w:themeColor="text1"/>
        </w:rPr>
        <w:t>показатели</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gridCol w:w="1279"/>
        <w:gridCol w:w="1499"/>
      </w:tblGrid>
      <w:tr w:rsidR="008C2178" w:rsidRPr="00DB2FCC" w:rsidTr="00CD5FE2">
        <w:trPr>
          <w:tblHeader/>
          <w:jc w:val="center"/>
        </w:trPr>
        <w:tc>
          <w:tcPr>
            <w:tcW w:w="7023"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b/>
                <w:sz w:val="24"/>
                <w:szCs w:val="24"/>
              </w:rPr>
            </w:pPr>
            <w:r w:rsidRPr="008C2178">
              <w:rPr>
                <w:rFonts w:ascii="Times New Roman" w:hAnsi="Times New Roman" w:cs="Times New Roman"/>
                <w:b/>
                <w:sz w:val="24"/>
                <w:szCs w:val="24"/>
              </w:rPr>
              <w:t>Наименование показателей</w:t>
            </w:r>
          </w:p>
        </w:tc>
        <w:tc>
          <w:tcPr>
            <w:tcW w:w="1279"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b/>
                <w:sz w:val="24"/>
                <w:szCs w:val="24"/>
              </w:rPr>
            </w:pPr>
            <w:r w:rsidRPr="008C2178">
              <w:rPr>
                <w:rFonts w:ascii="Times New Roman" w:hAnsi="Times New Roman" w:cs="Times New Roman"/>
                <w:b/>
                <w:sz w:val="24"/>
                <w:szCs w:val="24"/>
              </w:rPr>
              <w:t>Ед. изм.</w:t>
            </w:r>
          </w:p>
        </w:tc>
        <w:tc>
          <w:tcPr>
            <w:tcW w:w="1499" w:type="dxa"/>
            <w:shd w:val="clear" w:color="auto" w:fill="auto"/>
            <w:vAlign w:val="center"/>
          </w:tcPr>
          <w:p w:rsidR="008C2178" w:rsidRPr="008C2178" w:rsidRDefault="008C2178" w:rsidP="00CD5FE2">
            <w:pPr>
              <w:pStyle w:val="ConsPlusNormal"/>
              <w:jc w:val="center"/>
              <w:rPr>
                <w:rFonts w:ascii="Times New Roman" w:hAnsi="Times New Roman" w:cs="Times New Roman"/>
                <w:b/>
                <w:sz w:val="24"/>
                <w:szCs w:val="24"/>
              </w:rPr>
            </w:pPr>
            <w:r w:rsidRPr="008C2178">
              <w:rPr>
                <w:rFonts w:ascii="Times New Roman" w:hAnsi="Times New Roman" w:cs="Times New Roman"/>
                <w:b/>
                <w:sz w:val="24"/>
                <w:szCs w:val="24"/>
              </w:rPr>
              <w:t xml:space="preserve">Количество </w:t>
            </w:r>
          </w:p>
          <w:p w:rsidR="008C2178" w:rsidRPr="008C2178" w:rsidRDefault="008C2178" w:rsidP="00CD5FE2">
            <w:pPr>
              <w:pStyle w:val="ConsPlusNormal"/>
              <w:jc w:val="center"/>
              <w:rPr>
                <w:rFonts w:ascii="Times New Roman" w:hAnsi="Times New Roman" w:cs="Times New Roman"/>
                <w:b/>
                <w:sz w:val="24"/>
                <w:szCs w:val="24"/>
              </w:rPr>
            </w:pPr>
            <w:r w:rsidRPr="008C2178">
              <w:rPr>
                <w:rFonts w:ascii="Times New Roman" w:hAnsi="Times New Roman" w:cs="Times New Roman"/>
                <w:b/>
                <w:sz w:val="24"/>
                <w:szCs w:val="24"/>
              </w:rPr>
              <w:t>по проекту</w:t>
            </w:r>
          </w:p>
        </w:tc>
      </w:tr>
      <w:tr w:rsidR="008C2178" w:rsidRPr="00DB2FCC" w:rsidTr="00CD5FE2">
        <w:trPr>
          <w:tblHeader/>
          <w:jc w:val="center"/>
        </w:trPr>
        <w:tc>
          <w:tcPr>
            <w:tcW w:w="7023"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b/>
                <w:sz w:val="24"/>
                <w:szCs w:val="24"/>
              </w:rPr>
            </w:pPr>
            <w:r w:rsidRPr="008C2178">
              <w:rPr>
                <w:rFonts w:ascii="Times New Roman" w:hAnsi="Times New Roman" w:cs="Times New Roman"/>
                <w:b/>
                <w:sz w:val="24"/>
                <w:szCs w:val="24"/>
              </w:rPr>
              <w:t>1</w:t>
            </w:r>
          </w:p>
        </w:tc>
        <w:tc>
          <w:tcPr>
            <w:tcW w:w="1279"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b/>
                <w:sz w:val="24"/>
                <w:szCs w:val="24"/>
              </w:rPr>
            </w:pPr>
            <w:r w:rsidRPr="008C2178">
              <w:rPr>
                <w:rFonts w:ascii="Times New Roman" w:hAnsi="Times New Roman" w:cs="Times New Roman"/>
                <w:b/>
                <w:sz w:val="24"/>
                <w:szCs w:val="24"/>
              </w:rPr>
              <w:t>2</w:t>
            </w:r>
          </w:p>
        </w:tc>
        <w:tc>
          <w:tcPr>
            <w:tcW w:w="1499" w:type="dxa"/>
            <w:shd w:val="clear" w:color="auto" w:fill="auto"/>
            <w:vAlign w:val="center"/>
          </w:tcPr>
          <w:p w:rsidR="008C2178" w:rsidRPr="008C2178" w:rsidRDefault="008C2178" w:rsidP="00CD5FE2">
            <w:pPr>
              <w:pStyle w:val="ConsPlusNormal"/>
              <w:jc w:val="center"/>
              <w:rPr>
                <w:rFonts w:ascii="Times New Roman" w:hAnsi="Times New Roman" w:cs="Times New Roman"/>
                <w:b/>
                <w:sz w:val="24"/>
                <w:szCs w:val="24"/>
              </w:rPr>
            </w:pPr>
            <w:r w:rsidRPr="008C2178">
              <w:rPr>
                <w:rFonts w:ascii="Times New Roman" w:hAnsi="Times New Roman" w:cs="Times New Roman"/>
                <w:b/>
                <w:sz w:val="24"/>
                <w:szCs w:val="24"/>
              </w:rPr>
              <w:t>3</w:t>
            </w:r>
          </w:p>
        </w:tc>
      </w:tr>
      <w:tr w:rsidR="008C2178" w:rsidRPr="00DB2FCC" w:rsidTr="00CD5FE2">
        <w:trPr>
          <w:jc w:val="center"/>
        </w:trPr>
        <w:tc>
          <w:tcPr>
            <w:tcW w:w="7023" w:type="dxa"/>
            <w:shd w:val="clear" w:color="auto" w:fill="auto"/>
            <w:vAlign w:val="center"/>
          </w:tcPr>
          <w:p w:rsidR="008C2178" w:rsidRPr="008C2178" w:rsidRDefault="008C2178" w:rsidP="00CD5FE2">
            <w:pPr>
              <w:pStyle w:val="ConsPlusNormal"/>
              <w:widowControl/>
              <w:rPr>
                <w:rFonts w:ascii="Times New Roman" w:hAnsi="Times New Roman" w:cs="Times New Roman"/>
                <w:b/>
                <w:sz w:val="24"/>
                <w:szCs w:val="24"/>
              </w:rPr>
            </w:pPr>
            <w:r w:rsidRPr="008C2178">
              <w:rPr>
                <w:rFonts w:ascii="Times New Roman" w:hAnsi="Times New Roman" w:cs="Times New Roman"/>
                <w:b/>
                <w:sz w:val="24"/>
                <w:szCs w:val="24"/>
              </w:rPr>
              <w:t>Площадочные объекты, всего</w:t>
            </w:r>
          </w:p>
        </w:tc>
        <w:tc>
          <w:tcPr>
            <w:tcW w:w="1279"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шт.</w:t>
            </w:r>
          </w:p>
        </w:tc>
        <w:tc>
          <w:tcPr>
            <w:tcW w:w="1499"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1</w:t>
            </w:r>
          </w:p>
        </w:tc>
      </w:tr>
      <w:tr w:rsidR="008C2178" w:rsidRPr="00DB2FCC" w:rsidTr="00CD5FE2">
        <w:trPr>
          <w:jc w:val="center"/>
        </w:trPr>
        <w:tc>
          <w:tcPr>
            <w:tcW w:w="7023" w:type="dxa"/>
            <w:shd w:val="clear" w:color="auto" w:fill="auto"/>
            <w:vAlign w:val="center"/>
          </w:tcPr>
          <w:p w:rsidR="008C2178" w:rsidRPr="008C2178" w:rsidRDefault="008C2178" w:rsidP="00CD5FE2">
            <w:pPr>
              <w:pStyle w:val="ConsPlusNormal"/>
              <w:widowControl/>
              <w:rPr>
                <w:rFonts w:ascii="Times New Roman" w:hAnsi="Times New Roman" w:cs="Times New Roman"/>
                <w:b/>
                <w:sz w:val="24"/>
                <w:szCs w:val="24"/>
              </w:rPr>
            </w:pPr>
            <w:r w:rsidRPr="008C2178">
              <w:rPr>
                <w:rFonts w:ascii="Times New Roman" w:hAnsi="Times New Roman" w:cs="Times New Roman"/>
                <w:b/>
                <w:sz w:val="24"/>
                <w:szCs w:val="24"/>
              </w:rPr>
              <w:t>Кустовая площадка №2</w:t>
            </w:r>
          </w:p>
          <w:p w:rsidR="008C2178" w:rsidRPr="008C2178" w:rsidRDefault="008C2178" w:rsidP="00CD5FE2">
            <w:pPr>
              <w:pStyle w:val="ConsPlusNormal"/>
              <w:widowControl/>
              <w:rPr>
                <w:rFonts w:ascii="Times New Roman" w:hAnsi="Times New Roman" w:cs="Times New Roman"/>
                <w:sz w:val="24"/>
                <w:szCs w:val="24"/>
              </w:rPr>
            </w:pPr>
            <w:r w:rsidRPr="008C2178">
              <w:rPr>
                <w:rFonts w:ascii="Times New Roman" w:hAnsi="Times New Roman" w:cs="Times New Roman"/>
                <w:sz w:val="24"/>
                <w:szCs w:val="24"/>
              </w:rPr>
              <w:t>Количество скважин, всего:</w:t>
            </w:r>
          </w:p>
          <w:p w:rsidR="008C2178" w:rsidRPr="008C2178" w:rsidRDefault="008C2178" w:rsidP="00CD5FE2">
            <w:pPr>
              <w:pStyle w:val="ConsPlusNormal"/>
              <w:widowControl/>
              <w:rPr>
                <w:rFonts w:ascii="Times New Roman" w:hAnsi="Times New Roman" w:cs="Times New Roman"/>
                <w:sz w:val="24"/>
                <w:szCs w:val="24"/>
              </w:rPr>
            </w:pPr>
            <w:proofErr w:type="gramStart"/>
            <w:r w:rsidRPr="008C2178">
              <w:rPr>
                <w:rFonts w:ascii="Times New Roman" w:hAnsi="Times New Roman" w:cs="Times New Roman"/>
                <w:sz w:val="24"/>
                <w:szCs w:val="24"/>
              </w:rPr>
              <w:t>в</w:t>
            </w:r>
            <w:proofErr w:type="gramEnd"/>
            <w:r w:rsidRPr="008C2178">
              <w:rPr>
                <w:rFonts w:ascii="Times New Roman" w:hAnsi="Times New Roman" w:cs="Times New Roman"/>
                <w:sz w:val="24"/>
                <w:szCs w:val="24"/>
              </w:rPr>
              <w:t xml:space="preserve"> </w:t>
            </w:r>
            <w:proofErr w:type="spellStart"/>
            <w:r w:rsidRPr="008C2178">
              <w:rPr>
                <w:rFonts w:ascii="Times New Roman" w:hAnsi="Times New Roman" w:cs="Times New Roman"/>
                <w:sz w:val="24"/>
                <w:szCs w:val="24"/>
              </w:rPr>
              <w:t>т.ч</w:t>
            </w:r>
            <w:proofErr w:type="spellEnd"/>
            <w:r w:rsidRPr="008C2178">
              <w:rPr>
                <w:rFonts w:ascii="Times New Roman" w:hAnsi="Times New Roman" w:cs="Times New Roman"/>
                <w:sz w:val="24"/>
                <w:szCs w:val="24"/>
              </w:rPr>
              <w:t>:</w:t>
            </w:r>
          </w:p>
          <w:p w:rsidR="008C2178" w:rsidRPr="008C2178" w:rsidRDefault="008C2178" w:rsidP="00CD5FE2">
            <w:pPr>
              <w:pStyle w:val="ConsPlusNormal"/>
              <w:widowControl/>
              <w:rPr>
                <w:rFonts w:ascii="Times New Roman" w:hAnsi="Times New Roman" w:cs="Times New Roman"/>
                <w:sz w:val="24"/>
                <w:szCs w:val="24"/>
              </w:rPr>
            </w:pPr>
            <w:r w:rsidRPr="008C2178">
              <w:rPr>
                <w:rFonts w:ascii="Times New Roman" w:hAnsi="Times New Roman" w:cs="Times New Roman"/>
                <w:sz w:val="24"/>
                <w:szCs w:val="24"/>
              </w:rPr>
              <w:t>- добывающих скважин</w:t>
            </w:r>
          </w:p>
        </w:tc>
        <w:tc>
          <w:tcPr>
            <w:tcW w:w="1279" w:type="dxa"/>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шт.</w:t>
            </w:r>
          </w:p>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шт.</w:t>
            </w:r>
          </w:p>
        </w:tc>
        <w:tc>
          <w:tcPr>
            <w:tcW w:w="1499" w:type="dxa"/>
            <w:shd w:val="clear" w:color="auto" w:fill="auto"/>
            <w:vAlign w:val="center"/>
          </w:tcPr>
          <w:p w:rsidR="008C2178" w:rsidRPr="008C2178" w:rsidRDefault="008C2178" w:rsidP="00CD5FE2">
            <w:pPr>
              <w:pStyle w:val="ConsPlusNormal"/>
              <w:widowControl/>
              <w:ind w:left="-161" w:right="-55"/>
              <w:jc w:val="center"/>
              <w:rPr>
                <w:rFonts w:ascii="Times New Roman" w:hAnsi="Times New Roman" w:cs="Times New Roman"/>
                <w:sz w:val="24"/>
                <w:szCs w:val="24"/>
              </w:rPr>
            </w:pPr>
          </w:p>
          <w:p w:rsidR="008C2178" w:rsidRPr="008C2178" w:rsidRDefault="008C2178" w:rsidP="00CD5FE2">
            <w:pPr>
              <w:pStyle w:val="ConsPlusNormal"/>
              <w:widowControl/>
              <w:ind w:left="-161" w:right="-55"/>
              <w:jc w:val="center"/>
              <w:rPr>
                <w:rFonts w:ascii="Times New Roman" w:hAnsi="Times New Roman" w:cs="Times New Roman"/>
                <w:sz w:val="24"/>
                <w:szCs w:val="24"/>
              </w:rPr>
            </w:pPr>
            <w:r w:rsidRPr="008C2178">
              <w:rPr>
                <w:rFonts w:ascii="Times New Roman" w:hAnsi="Times New Roman" w:cs="Times New Roman"/>
                <w:sz w:val="24"/>
                <w:szCs w:val="24"/>
              </w:rPr>
              <w:t>4</w:t>
            </w:r>
          </w:p>
          <w:p w:rsidR="008C2178" w:rsidRPr="008C2178" w:rsidRDefault="008C2178" w:rsidP="00CD5FE2">
            <w:pPr>
              <w:pStyle w:val="ConsPlusNormal"/>
              <w:widowControl/>
              <w:ind w:left="-161" w:right="-55"/>
              <w:jc w:val="center"/>
              <w:rPr>
                <w:rFonts w:ascii="Times New Roman" w:hAnsi="Times New Roman" w:cs="Times New Roman"/>
                <w:sz w:val="24"/>
                <w:szCs w:val="24"/>
              </w:rPr>
            </w:pPr>
          </w:p>
          <w:p w:rsidR="008C2178" w:rsidRPr="008C2178" w:rsidRDefault="008C2178" w:rsidP="00CD5FE2">
            <w:pPr>
              <w:pStyle w:val="ConsPlusNormal"/>
              <w:widowControl/>
              <w:ind w:left="-161" w:right="-55"/>
              <w:jc w:val="center"/>
              <w:rPr>
                <w:rFonts w:ascii="Times New Roman" w:hAnsi="Times New Roman" w:cs="Times New Roman"/>
                <w:sz w:val="24"/>
                <w:szCs w:val="24"/>
              </w:rPr>
            </w:pPr>
            <w:r w:rsidRPr="008C2178">
              <w:rPr>
                <w:rFonts w:ascii="Times New Roman" w:hAnsi="Times New Roman" w:cs="Times New Roman"/>
                <w:sz w:val="24"/>
                <w:szCs w:val="24"/>
              </w:rPr>
              <w:t>4</w:t>
            </w:r>
          </w:p>
        </w:tc>
      </w:tr>
      <w:tr w:rsidR="008C2178" w:rsidRPr="00DB2FCC" w:rsidTr="00CD5FE2">
        <w:trPr>
          <w:jc w:val="center"/>
        </w:trPr>
        <w:tc>
          <w:tcPr>
            <w:tcW w:w="7023" w:type="dxa"/>
            <w:tcBorders>
              <w:bottom w:val="single" w:sz="4" w:space="0" w:color="auto"/>
            </w:tcBorders>
            <w:shd w:val="clear" w:color="auto" w:fill="auto"/>
            <w:vAlign w:val="center"/>
          </w:tcPr>
          <w:p w:rsidR="008C2178" w:rsidRPr="008C2178" w:rsidRDefault="008C2178" w:rsidP="00CD5FE2">
            <w:pPr>
              <w:pStyle w:val="ConsPlusNormal"/>
              <w:widowControl/>
              <w:rPr>
                <w:rFonts w:ascii="Times New Roman" w:hAnsi="Times New Roman" w:cs="Times New Roman"/>
                <w:b/>
                <w:sz w:val="24"/>
                <w:szCs w:val="24"/>
              </w:rPr>
            </w:pPr>
            <w:r w:rsidRPr="008C2178">
              <w:rPr>
                <w:rFonts w:ascii="Times New Roman" w:hAnsi="Times New Roman" w:cs="Times New Roman"/>
                <w:b/>
                <w:sz w:val="24"/>
                <w:szCs w:val="24"/>
              </w:rPr>
              <w:t>Линейные объекты</w:t>
            </w:r>
          </w:p>
        </w:tc>
        <w:tc>
          <w:tcPr>
            <w:tcW w:w="1279" w:type="dxa"/>
            <w:tcBorders>
              <w:bottom w:val="single" w:sz="4" w:space="0" w:color="auto"/>
            </w:tcBorders>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p>
        </w:tc>
        <w:tc>
          <w:tcPr>
            <w:tcW w:w="1499" w:type="dxa"/>
            <w:tcBorders>
              <w:bottom w:val="single" w:sz="4" w:space="0" w:color="auto"/>
            </w:tcBorders>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p>
        </w:tc>
      </w:tr>
      <w:tr w:rsidR="008C2178" w:rsidRPr="00DB2FCC" w:rsidTr="00CD5FE2">
        <w:trPr>
          <w:jc w:val="center"/>
        </w:trPr>
        <w:tc>
          <w:tcPr>
            <w:tcW w:w="7023" w:type="dxa"/>
            <w:tcBorders>
              <w:bottom w:val="single" w:sz="4" w:space="0" w:color="auto"/>
            </w:tcBorders>
            <w:shd w:val="clear" w:color="auto" w:fill="auto"/>
            <w:vAlign w:val="center"/>
          </w:tcPr>
          <w:p w:rsidR="008C2178" w:rsidRPr="008C2178" w:rsidRDefault="008C2178" w:rsidP="00CD5FE2">
            <w:pPr>
              <w:pStyle w:val="ConsPlusNormal"/>
              <w:widowControl/>
              <w:rPr>
                <w:rFonts w:ascii="Times New Roman" w:hAnsi="Times New Roman" w:cs="Times New Roman"/>
                <w:b/>
                <w:sz w:val="24"/>
                <w:szCs w:val="24"/>
              </w:rPr>
            </w:pPr>
            <w:r w:rsidRPr="008C2178">
              <w:rPr>
                <w:rFonts w:ascii="Times New Roman" w:hAnsi="Times New Roman" w:cs="Times New Roman"/>
                <w:b/>
                <w:sz w:val="24"/>
                <w:szCs w:val="24"/>
              </w:rPr>
              <w:t>Нефтегазосборный трубопровод от Куста № 2 до т. врезки</w:t>
            </w:r>
          </w:p>
          <w:p w:rsidR="008C2178" w:rsidRPr="008C2178" w:rsidRDefault="008C2178" w:rsidP="00CD5FE2">
            <w:pPr>
              <w:pStyle w:val="ConsPlusNormal"/>
              <w:rPr>
                <w:rFonts w:ascii="Times New Roman" w:hAnsi="Times New Roman" w:cs="Times New Roman"/>
                <w:sz w:val="24"/>
                <w:szCs w:val="24"/>
              </w:rPr>
            </w:pPr>
            <w:r w:rsidRPr="008C2178">
              <w:rPr>
                <w:rFonts w:ascii="Times New Roman" w:hAnsi="Times New Roman" w:cs="Times New Roman"/>
                <w:sz w:val="24"/>
                <w:szCs w:val="24"/>
              </w:rPr>
              <w:t>Диаметр, толщина стенки трубопровода</w:t>
            </w:r>
          </w:p>
          <w:p w:rsidR="008C2178" w:rsidRPr="008C2178" w:rsidRDefault="008C2178" w:rsidP="00CD5FE2">
            <w:pPr>
              <w:pStyle w:val="ConsPlusNormal"/>
              <w:rPr>
                <w:rFonts w:ascii="Times New Roman" w:hAnsi="Times New Roman" w:cs="Times New Roman"/>
                <w:sz w:val="24"/>
                <w:szCs w:val="24"/>
              </w:rPr>
            </w:pPr>
            <w:r w:rsidRPr="008C2178">
              <w:rPr>
                <w:rFonts w:ascii="Times New Roman" w:hAnsi="Times New Roman" w:cs="Times New Roman"/>
                <w:sz w:val="24"/>
                <w:szCs w:val="24"/>
              </w:rPr>
              <w:t>Класс трубопровода</w:t>
            </w:r>
          </w:p>
          <w:p w:rsidR="008C2178" w:rsidRPr="008C2178" w:rsidRDefault="008C2178" w:rsidP="00CD5FE2">
            <w:pPr>
              <w:rPr>
                <w:rFonts w:ascii="Times New Roman" w:hAnsi="Times New Roman" w:cs="Times New Roman"/>
              </w:rPr>
            </w:pPr>
            <w:r w:rsidRPr="008C2178">
              <w:rPr>
                <w:rFonts w:ascii="Times New Roman" w:hAnsi="Times New Roman" w:cs="Times New Roman"/>
                <w:b/>
              </w:rPr>
              <w:t>Категория</w:t>
            </w:r>
            <w:r w:rsidRPr="008C2178">
              <w:rPr>
                <w:rFonts w:ascii="Times New Roman" w:hAnsi="Times New Roman" w:cs="Times New Roman"/>
                <w:b/>
                <w:lang w:val="en-US"/>
              </w:rPr>
              <w:t xml:space="preserve"> </w:t>
            </w:r>
            <w:r w:rsidRPr="008C2178">
              <w:rPr>
                <w:rFonts w:ascii="Times New Roman" w:hAnsi="Times New Roman" w:cs="Times New Roman"/>
                <w:b/>
              </w:rPr>
              <w:t>трубопровода</w:t>
            </w:r>
          </w:p>
          <w:p w:rsidR="008C2178" w:rsidRPr="008C2178" w:rsidRDefault="008C2178" w:rsidP="00CD5FE2">
            <w:pPr>
              <w:pStyle w:val="ConsPlusNormal"/>
              <w:widowControl/>
              <w:rPr>
                <w:rFonts w:ascii="Times New Roman" w:hAnsi="Times New Roman" w:cs="Times New Roman"/>
                <w:sz w:val="24"/>
                <w:szCs w:val="24"/>
              </w:rPr>
            </w:pPr>
            <w:r w:rsidRPr="008C2178">
              <w:rPr>
                <w:rFonts w:ascii="Times New Roman" w:hAnsi="Times New Roman" w:cs="Times New Roman"/>
                <w:sz w:val="24"/>
                <w:szCs w:val="24"/>
              </w:rPr>
              <w:t>Протяженность</w:t>
            </w:r>
          </w:p>
        </w:tc>
        <w:tc>
          <w:tcPr>
            <w:tcW w:w="1279" w:type="dxa"/>
            <w:tcBorders>
              <w:bottom w:val="single" w:sz="4" w:space="0" w:color="auto"/>
            </w:tcBorders>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мм</w:t>
            </w:r>
          </w:p>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sz w:val="24"/>
                <w:szCs w:val="24"/>
              </w:rPr>
              <w:t>м</w:t>
            </w:r>
          </w:p>
        </w:tc>
        <w:tc>
          <w:tcPr>
            <w:tcW w:w="1499" w:type="dxa"/>
            <w:tcBorders>
              <w:bottom w:val="single" w:sz="4" w:space="0" w:color="auto"/>
            </w:tcBorders>
            <w:shd w:val="clear" w:color="auto" w:fill="auto"/>
            <w:vAlign w:val="center"/>
          </w:tcPr>
          <w:p w:rsidR="008C2178" w:rsidRPr="008C2178" w:rsidRDefault="008C2178" w:rsidP="00CD5FE2">
            <w:pPr>
              <w:pStyle w:val="ConsPlusNormal"/>
              <w:widowControl/>
              <w:jc w:val="center"/>
              <w:rPr>
                <w:rFonts w:ascii="Times New Roman" w:hAnsi="Times New Roman" w:cs="Times New Roman"/>
                <w:sz w:val="24"/>
                <w:szCs w:val="24"/>
              </w:rPr>
            </w:pPr>
          </w:p>
          <w:p w:rsidR="008C2178" w:rsidRPr="008C2178" w:rsidRDefault="008C2178" w:rsidP="00CD5FE2">
            <w:pPr>
              <w:pStyle w:val="ConsPlusNormal"/>
              <w:widowControl/>
              <w:jc w:val="center"/>
              <w:rPr>
                <w:rFonts w:ascii="Times New Roman" w:hAnsi="Times New Roman" w:cs="Times New Roman"/>
                <w:bCs/>
                <w:sz w:val="24"/>
                <w:szCs w:val="24"/>
              </w:rPr>
            </w:pPr>
            <w:r w:rsidRPr="008C2178">
              <w:rPr>
                <w:rFonts w:ascii="Times New Roman" w:hAnsi="Times New Roman" w:cs="Times New Roman"/>
                <w:bCs/>
                <w:sz w:val="24"/>
                <w:szCs w:val="24"/>
              </w:rPr>
              <w:t>159х8</w:t>
            </w:r>
          </w:p>
          <w:p w:rsidR="008C2178" w:rsidRPr="008C2178" w:rsidRDefault="008C2178" w:rsidP="00CD5FE2">
            <w:pPr>
              <w:pStyle w:val="ConsPlusNormal"/>
              <w:widowControl/>
              <w:jc w:val="center"/>
              <w:rPr>
                <w:rFonts w:ascii="Times New Roman" w:hAnsi="Times New Roman" w:cs="Times New Roman"/>
                <w:sz w:val="24"/>
                <w:szCs w:val="24"/>
                <w:lang w:val="en-US"/>
              </w:rPr>
            </w:pPr>
            <w:r w:rsidRPr="008C2178">
              <w:rPr>
                <w:rFonts w:ascii="Times New Roman" w:hAnsi="Times New Roman" w:cs="Times New Roman"/>
                <w:sz w:val="24"/>
                <w:szCs w:val="24"/>
                <w:lang w:val="en-US"/>
              </w:rPr>
              <w:t>III</w:t>
            </w:r>
          </w:p>
          <w:p w:rsidR="008C2178" w:rsidRPr="008C2178" w:rsidRDefault="008C2178" w:rsidP="00CD5FE2">
            <w:pPr>
              <w:pStyle w:val="ConsPlusNormal"/>
              <w:widowControl/>
              <w:jc w:val="center"/>
              <w:rPr>
                <w:rFonts w:ascii="Times New Roman" w:hAnsi="Times New Roman" w:cs="Times New Roman"/>
                <w:sz w:val="24"/>
                <w:szCs w:val="24"/>
                <w:lang w:val="en-US"/>
              </w:rPr>
            </w:pPr>
            <w:r w:rsidRPr="008C2178">
              <w:rPr>
                <w:rFonts w:ascii="Times New Roman" w:hAnsi="Times New Roman" w:cs="Times New Roman"/>
                <w:sz w:val="24"/>
                <w:szCs w:val="24"/>
                <w:lang w:val="en-US"/>
              </w:rPr>
              <w:t>C</w:t>
            </w:r>
          </w:p>
          <w:p w:rsidR="008C2178" w:rsidRPr="008C2178" w:rsidRDefault="008C2178" w:rsidP="00CD5FE2">
            <w:pPr>
              <w:pStyle w:val="ConsPlusNormal"/>
              <w:widowControl/>
              <w:jc w:val="center"/>
              <w:rPr>
                <w:rFonts w:ascii="Times New Roman" w:hAnsi="Times New Roman" w:cs="Times New Roman"/>
                <w:sz w:val="24"/>
                <w:szCs w:val="24"/>
              </w:rPr>
            </w:pPr>
            <w:r w:rsidRPr="008C2178">
              <w:rPr>
                <w:rFonts w:ascii="Times New Roman" w:hAnsi="Times New Roman" w:cs="Times New Roman"/>
                <w:bCs/>
                <w:sz w:val="24"/>
                <w:szCs w:val="24"/>
              </w:rPr>
              <w:t>42</w:t>
            </w:r>
          </w:p>
        </w:tc>
      </w:tr>
    </w:tbl>
    <w:p w:rsidR="009403AB" w:rsidRPr="009403AB" w:rsidRDefault="009403AB" w:rsidP="009403AB">
      <w:pPr>
        <w:spacing w:after="0" w:line="240" w:lineRule="auto"/>
        <w:ind w:right="84" w:firstLine="567"/>
        <w:contextualSpacing/>
        <w:jc w:val="both"/>
        <w:rPr>
          <w:rFonts w:ascii="Times New Roman" w:eastAsia="Times New Roman" w:hAnsi="Times New Roman" w:cs="Times New Roman"/>
          <w:b/>
          <w:sz w:val="24"/>
          <w:szCs w:val="24"/>
          <w:lang w:eastAsia="ru-RU"/>
        </w:rPr>
      </w:pPr>
    </w:p>
    <w:p w:rsidR="009403AB" w:rsidRPr="009403AB" w:rsidRDefault="009403AB" w:rsidP="009403AB">
      <w:pPr>
        <w:spacing w:after="0" w:line="240" w:lineRule="auto"/>
        <w:ind w:right="-40"/>
        <w:jc w:val="center"/>
        <w:rPr>
          <w:rFonts w:ascii="Times New Roman" w:eastAsia="Times New Roman" w:hAnsi="Times New Roman" w:cs="Times New Roman"/>
          <w:b/>
          <w:sz w:val="24"/>
          <w:szCs w:val="20"/>
          <w:lang w:eastAsia="ru-RU"/>
        </w:rPr>
      </w:pPr>
      <w:r w:rsidRPr="009403AB">
        <w:rPr>
          <w:rFonts w:ascii="Times New Roman" w:eastAsia="Times New Roman" w:hAnsi="Times New Roman" w:cs="Times New Roman"/>
          <w:b/>
          <w:sz w:val="24"/>
          <w:szCs w:val="20"/>
          <w:lang w:eastAsia="ru-RU"/>
        </w:rPr>
        <w:t>2.2.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внутригородских территорий городов федерального значения, на территориях которых устанавливаются зоны планируемого размещения   объектов</w:t>
      </w:r>
    </w:p>
    <w:p w:rsidR="009403AB" w:rsidRPr="009403AB" w:rsidRDefault="009403AB" w:rsidP="009403AB">
      <w:pPr>
        <w:tabs>
          <w:tab w:val="left" w:pos="142"/>
        </w:tabs>
        <w:spacing w:after="120" w:line="240" w:lineRule="auto"/>
        <w:ind w:left="283" w:right="-40" w:firstLine="567"/>
        <w:jc w:val="both"/>
        <w:rPr>
          <w:rFonts w:ascii="Times New Roman" w:eastAsia="Times New Roman" w:hAnsi="Times New Roman" w:cs="Times New Roman"/>
          <w:sz w:val="24"/>
          <w:szCs w:val="20"/>
          <w:lang w:eastAsia="ru-RU"/>
        </w:rPr>
      </w:pPr>
    </w:p>
    <w:p w:rsidR="008C2178" w:rsidRPr="008C2178" w:rsidRDefault="008C2178" w:rsidP="008C2178">
      <w:pPr>
        <w:spacing w:after="0" w:line="240" w:lineRule="auto"/>
        <w:ind w:left="142" w:right="125" w:firstLine="656"/>
        <w:jc w:val="both"/>
        <w:rPr>
          <w:rFonts w:ascii="Times New Roman" w:eastAsia="Times New Roman" w:hAnsi="Times New Roman" w:cs="Times New Roman"/>
          <w:color w:val="000000"/>
          <w:sz w:val="24"/>
          <w:szCs w:val="24"/>
          <w:lang w:eastAsia="ru-RU"/>
        </w:rPr>
      </w:pPr>
      <w:r w:rsidRPr="008C2178">
        <w:rPr>
          <w:rFonts w:ascii="Times New Roman" w:eastAsia="Times New Roman" w:hAnsi="Times New Roman" w:cs="Times New Roman"/>
          <w:color w:val="000000"/>
          <w:sz w:val="24"/>
          <w:szCs w:val="24"/>
          <w:lang w:eastAsia="ru-RU"/>
        </w:rPr>
        <w:t xml:space="preserve">В административном отношении район строительства расположен на территории Ханты-Мансийского района, Ханты-Мансийского автономного округа – Югры, Тюменской области на территории </w:t>
      </w:r>
      <w:proofErr w:type="spellStart"/>
      <w:r w:rsidRPr="008C2178">
        <w:rPr>
          <w:rFonts w:ascii="Times New Roman" w:eastAsia="Times New Roman" w:hAnsi="Times New Roman" w:cs="Times New Roman"/>
          <w:color w:val="000000"/>
          <w:sz w:val="24"/>
          <w:szCs w:val="24"/>
          <w:lang w:eastAsia="ru-RU"/>
        </w:rPr>
        <w:t>Галяновского</w:t>
      </w:r>
      <w:proofErr w:type="spellEnd"/>
      <w:r w:rsidRPr="008C2178">
        <w:rPr>
          <w:rFonts w:ascii="Times New Roman" w:eastAsia="Times New Roman" w:hAnsi="Times New Roman" w:cs="Times New Roman"/>
          <w:color w:val="000000"/>
          <w:sz w:val="24"/>
          <w:szCs w:val="24"/>
          <w:lang w:eastAsia="ru-RU"/>
        </w:rPr>
        <w:t xml:space="preserve"> лицензионного участка.</w:t>
      </w:r>
    </w:p>
    <w:p w:rsidR="008C2178" w:rsidRPr="008C2178" w:rsidRDefault="008C2178" w:rsidP="008C2178">
      <w:pPr>
        <w:spacing w:after="0" w:line="240" w:lineRule="auto"/>
        <w:ind w:left="142" w:right="125" w:firstLine="656"/>
        <w:jc w:val="both"/>
        <w:rPr>
          <w:rFonts w:ascii="Times New Roman" w:eastAsia="Times New Roman" w:hAnsi="Times New Roman" w:cs="Times New Roman"/>
          <w:color w:val="000000"/>
          <w:sz w:val="24"/>
          <w:szCs w:val="24"/>
          <w:lang w:eastAsia="ru-RU"/>
        </w:rPr>
      </w:pPr>
      <w:r w:rsidRPr="008C2178">
        <w:rPr>
          <w:rFonts w:ascii="Times New Roman" w:eastAsia="Times New Roman" w:hAnsi="Times New Roman" w:cs="Times New Roman"/>
          <w:color w:val="000000"/>
          <w:sz w:val="24"/>
          <w:szCs w:val="24"/>
          <w:lang w:eastAsia="ru-RU"/>
        </w:rPr>
        <w:t xml:space="preserve">Объект находится на землях лесного фонда: </w:t>
      </w:r>
      <w:proofErr w:type="spellStart"/>
      <w:r w:rsidRPr="008C2178">
        <w:rPr>
          <w:rFonts w:ascii="Times New Roman" w:eastAsia="Times New Roman" w:hAnsi="Times New Roman" w:cs="Times New Roman"/>
          <w:color w:val="000000"/>
          <w:sz w:val="24"/>
          <w:szCs w:val="24"/>
          <w:lang w:eastAsia="ru-RU"/>
        </w:rPr>
        <w:t>Самаровское</w:t>
      </w:r>
      <w:proofErr w:type="spellEnd"/>
      <w:r w:rsidRPr="008C2178">
        <w:rPr>
          <w:rFonts w:ascii="Times New Roman" w:eastAsia="Times New Roman" w:hAnsi="Times New Roman" w:cs="Times New Roman"/>
          <w:color w:val="000000"/>
          <w:sz w:val="24"/>
          <w:szCs w:val="24"/>
          <w:lang w:eastAsia="ru-RU"/>
        </w:rPr>
        <w:t xml:space="preserve"> лесничество, </w:t>
      </w:r>
      <w:proofErr w:type="spellStart"/>
      <w:r w:rsidRPr="008C2178">
        <w:rPr>
          <w:rFonts w:ascii="Times New Roman" w:eastAsia="Times New Roman" w:hAnsi="Times New Roman" w:cs="Times New Roman"/>
          <w:color w:val="000000"/>
          <w:sz w:val="24"/>
          <w:szCs w:val="24"/>
          <w:lang w:eastAsia="ru-RU"/>
        </w:rPr>
        <w:t>Кедровское</w:t>
      </w:r>
      <w:proofErr w:type="spellEnd"/>
      <w:r w:rsidRPr="008C2178">
        <w:rPr>
          <w:rFonts w:ascii="Times New Roman" w:eastAsia="Times New Roman" w:hAnsi="Times New Roman" w:cs="Times New Roman"/>
          <w:color w:val="000000"/>
          <w:sz w:val="24"/>
          <w:szCs w:val="24"/>
          <w:lang w:eastAsia="ru-RU"/>
        </w:rPr>
        <w:t xml:space="preserve"> участковое лесничество, </w:t>
      </w:r>
      <w:proofErr w:type="spellStart"/>
      <w:r w:rsidRPr="008C2178">
        <w:rPr>
          <w:rFonts w:ascii="Times New Roman" w:eastAsia="Times New Roman" w:hAnsi="Times New Roman" w:cs="Times New Roman"/>
          <w:color w:val="000000"/>
          <w:sz w:val="24"/>
          <w:szCs w:val="24"/>
          <w:lang w:eastAsia="ru-RU"/>
        </w:rPr>
        <w:t>Кедровское</w:t>
      </w:r>
      <w:proofErr w:type="spellEnd"/>
      <w:r w:rsidRPr="008C2178">
        <w:rPr>
          <w:rFonts w:ascii="Times New Roman" w:eastAsia="Times New Roman" w:hAnsi="Times New Roman" w:cs="Times New Roman"/>
          <w:color w:val="000000"/>
          <w:sz w:val="24"/>
          <w:szCs w:val="24"/>
          <w:lang w:eastAsia="ru-RU"/>
        </w:rPr>
        <w:t xml:space="preserve"> урочище. Землепользователем на правах аренды является ООО «РИТЭК». Площадка куста №2 расположена в 24,6 км на северо-восток от п. </w:t>
      </w:r>
      <w:proofErr w:type="spellStart"/>
      <w:r w:rsidRPr="008C2178">
        <w:rPr>
          <w:rFonts w:ascii="Times New Roman" w:eastAsia="Times New Roman" w:hAnsi="Times New Roman" w:cs="Times New Roman"/>
          <w:color w:val="000000"/>
          <w:sz w:val="24"/>
          <w:szCs w:val="24"/>
          <w:lang w:eastAsia="ru-RU"/>
        </w:rPr>
        <w:t>Урманный</w:t>
      </w:r>
      <w:proofErr w:type="spellEnd"/>
      <w:r w:rsidRPr="008C2178">
        <w:rPr>
          <w:rFonts w:ascii="Times New Roman" w:eastAsia="Times New Roman" w:hAnsi="Times New Roman" w:cs="Times New Roman"/>
          <w:color w:val="000000"/>
          <w:sz w:val="24"/>
          <w:szCs w:val="24"/>
          <w:lang w:eastAsia="ru-RU"/>
        </w:rPr>
        <w:t xml:space="preserve">, в 39,3 км на юго-запад от г. </w:t>
      </w:r>
      <w:proofErr w:type="spellStart"/>
      <w:r w:rsidRPr="008C2178">
        <w:rPr>
          <w:rFonts w:ascii="Times New Roman" w:eastAsia="Times New Roman" w:hAnsi="Times New Roman" w:cs="Times New Roman"/>
          <w:color w:val="000000"/>
          <w:sz w:val="24"/>
          <w:szCs w:val="24"/>
          <w:lang w:eastAsia="ru-RU"/>
        </w:rPr>
        <w:t>Горнореченск</w:t>
      </w:r>
      <w:proofErr w:type="spellEnd"/>
      <w:r w:rsidRPr="008C2178">
        <w:rPr>
          <w:rFonts w:ascii="Times New Roman" w:eastAsia="Times New Roman" w:hAnsi="Times New Roman" w:cs="Times New Roman"/>
          <w:color w:val="000000"/>
          <w:sz w:val="24"/>
          <w:szCs w:val="24"/>
          <w:lang w:eastAsia="ru-RU"/>
        </w:rPr>
        <w:t>, в 18,6 км на северо-восток от п. Кедровый. Расстояния даны по прямой линии.</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2.3 Перечень координат характерных точек границ зон планируемого размещения   объектов</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8C2178" w:rsidRDefault="008C2178" w:rsidP="008C2178">
      <w:pPr>
        <w:pStyle w:val="ad"/>
        <w:spacing w:line="240" w:lineRule="auto"/>
        <w:ind w:left="142" w:right="125" w:firstLine="656"/>
        <w:rPr>
          <w:color w:val="000000" w:themeColor="text1"/>
          <w:szCs w:val="24"/>
        </w:rPr>
      </w:pPr>
      <w:r w:rsidRPr="00A84CA7">
        <w:rPr>
          <w:color w:val="000000" w:themeColor="text1"/>
          <w:szCs w:val="24"/>
        </w:rPr>
        <w:t>Координаты границ земельных участков, необходимых, для размещения проектируемого объекта, в графических материалах определены в местной системе координат МСК-86</w:t>
      </w:r>
    </w:p>
    <w:tbl>
      <w:tblPr>
        <w:tblW w:w="9802" w:type="dxa"/>
        <w:jc w:val="center"/>
        <w:tblLook w:val="04A0" w:firstRow="1" w:lastRow="0" w:firstColumn="1" w:lastColumn="0" w:noHBand="0" w:noVBand="1"/>
      </w:tblPr>
      <w:tblGrid>
        <w:gridCol w:w="3267"/>
        <w:gridCol w:w="3267"/>
        <w:gridCol w:w="3268"/>
      </w:tblGrid>
      <w:tr w:rsidR="008C2178" w:rsidRPr="00970CF0" w:rsidTr="00CD5FE2">
        <w:trPr>
          <w:trHeight w:val="675"/>
          <w:jc w:val="center"/>
        </w:trPr>
        <w:tc>
          <w:tcPr>
            <w:tcW w:w="9802" w:type="dxa"/>
            <w:gridSpan w:val="3"/>
            <w:tcBorders>
              <w:bottom w:val="single" w:sz="4" w:space="0" w:color="auto"/>
            </w:tcBorders>
            <w:shd w:val="clear" w:color="auto" w:fill="auto"/>
            <w:vAlign w:val="center"/>
            <w:hideMark/>
          </w:tcPr>
          <w:p w:rsidR="008C2178" w:rsidRPr="00970CF0" w:rsidRDefault="008C2178" w:rsidP="008C2178">
            <w:pPr>
              <w:spacing w:after="0" w:line="240" w:lineRule="auto"/>
              <w:jc w:val="center"/>
              <w:rPr>
                <w:rFonts w:ascii="Times New Roman" w:eastAsia="Times New Roman" w:hAnsi="Times New Roman" w:cs="Times New Roman"/>
                <w:b/>
                <w:sz w:val="20"/>
                <w:szCs w:val="20"/>
                <w:lang w:eastAsia="ru-RU"/>
              </w:rPr>
            </w:pPr>
            <w:r w:rsidRPr="008C2178">
              <w:rPr>
                <w:rFonts w:ascii="Times New Roman" w:eastAsia="Times New Roman" w:hAnsi="Times New Roman" w:cs="Times New Roman"/>
                <w:color w:val="000000" w:themeColor="text1"/>
                <w:sz w:val="24"/>
                <w:szCs w:val="24"/>
                <w:lang w:eastAsia="ru-RU"/>
              </w:rPr>
              <w:t xml:space="preserve">Таблица 2 -  Каталог </w:t>
            </w:r>
            <w:proofErr w:type="gramStart"/>
            <w:r w:rsidRPr="008C2178">
              <w:rPr>
                <w:rFonts w:ascii="Times New Roman" w:eastAsia="Times New Roman" w:hAnsi="Times New Roman" w:cs="Times New Roman"/>
                <w:color w:val="000000" w:themeColor="text1"/>
                <w:sz w:val="24"/>
                <w:szCs w:val="24"/>
                <w:lang w:eastAsia="ru-RU"/>
              </w:rPr>
              <w:t>координат  поворотных</w:t>
            </w:r>
            <w:proofErr w:type="gramEnd"/>
            <w:r w:rsidRPr="008C2178">
              <w:rPr>
                <w:rFonts w:ascii="Times New Roman" w:eastAsia="Times New Roman" w:hAnsi="Times New Roman" w:cs="Times New Roman"/>
                <w:color w:val="000000" w:themeColor="text1"/>
                <w:sz w:val="24"/>
                <w:szCs w:val="24"/>
                <w:lang w:eastAsia="ru-RU"/>
              </w:rPr>
              <w:t xml:space="preserve"> точек зоны допустимого размещения объекта</w:t>
            </w:r>
          </w:p>
        </w:tc>
      </w:tr>
      <w:tr w:rsidR="008C2178" w:rsidRPr="00970CF0" w:rsidTr="008C2178">
        <w:trPr>
          <w:trHeight w:val="283"/>
          <w:jc w:val="center"/>
        </w:trPr>
        <w:tc>
          <w:tcPr>
            <w:tcW w:w="32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C2178" w:rsidRPr="008C2178" w:rsidRDefault="008C2178" w:rsidP="008C2178">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номер точки</w:t>
            </w:r>
          </w:p>
        </w:tc>
        <w:tc>
          <w:tcPr>
            <w:tcW w:w="3267" w:type="dxa"/>
            <w:tcBorders>
              <w:top w:val="single" w:sz="4" w:space="0" w:color="auto"/>
              <w:left w:val="nil"/>
              <w:bottom w:val="single" w:sz="4" w:space="0" w:color="auto"/>
              <w:right w:val="single" w:sz="4" w:space="0" w:color="auto"/>
            </w:tcBorders>
            <w:shd w:val="clear" w:color="auto" w:fill="auto"/>
            <w:vAlign w:val="center"/>
            <w:hideMark/>
          </w:tcPr>
          <w:p w:rsidR="008C2178" w:rsidRPr="008C2178" w:rsidRDefault="008C2178" w:rsidP="008C2178">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Х</w:t>
            </w:r>
          </w:p>
        </w:tc>
        <w:tc>
          <w:tcPr>
            <w:tcW w:w="3268" w:type="dxa"/>
            <w:tcBorders>
              <w:top w:val="single" w:sz="4" w:space="0" w:color="auto"/>
              <w:left w:val="nil"/>
              <w:bottom w:val="single" w:sz="4" w:space="0" w:color="auto"/>
              <w:right w:val="single" w:sz="4" w:space="0" w:color="auto"/>
            </w:tcBorders>
            <w:shd w:val="clear" w:color="auto" w:fill="auto"/>
            <w:vAlign w:val="center"/>
            <w:hideMark/>
          </w:tcPr>
          <w:p w:rsidR="008C2178" w:rsidRPr="008C2178" w:rsidRDefault="008C2178" w:rsidP="008C2178">
            <w:pPr>
              <w:spacing w:after="0" w:line="240" w:lineRule="auto"/>
              <w:jc w:val="center"/>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У</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1030033.17</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2618066.14</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1030032.26</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2618137.28</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lastRenderedPageBreak/>
              <w:t>3</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1030029.69</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2618337.25</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4</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1030024.77</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2618716.59</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5</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1029374.34</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2618708.19</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6</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1029376.33</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2618553.00</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7</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1029376.61</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2618492.59</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8</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1029287.10</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2618492.67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9</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1029263.35</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2618492.67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1029249.94</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2618492.67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11</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1029213.00</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2618492.67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12</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2618492.67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13</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2618489.83</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14</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1029039.32</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2618358.83</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15</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1028948.19</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2618357.54</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16</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1028952.39</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2618057.53</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17</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1029166.51</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2618060.53</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18</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1029166.50</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2618033.47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19</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1029426.48</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2618033.47</w:t>
            </w:r>
          </w:p>
        </w:tc>
      </w:tr>
      <w:tr w:rsidR="008C2178" w:rsidRPr="00970CF0" w:rsidTr="008C2178">
        <w:trPr>
          <w:trHeight w:val="283"/>
          <w:jc w:val="center"/>
        </w:trPr>
        <w:tc>
          <w:tcPr>
            <w:tcW w:w="3267" w:type="dxa"/>
            <w:tcBorders>
              <w:top w:val="nil"/>
              <w:left w:val="single" w:sz="4" w:space="0" w:color="auto"/>
              <w:bottom w:val="single" w:sz="4" w:space="0" w:color="auto"/>
              <w:right w:val="single" w:sz="4" w:space="0" w:color="auto"/>
            </w:tcBorders>
            <w:shd w:val="clear" w:color="auto" w:fill="auto"/>
            <w:noWrap/>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20</w:t>
            </w:r>
          </w:p>
        </w:tc>
        <w:tc>
          <w:tcPr>
            <w:tcW w:w="3267"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1029426.48</w:t>
            </w:r>
          </w:p>
        </w:tc>
        <w:tc>
          <w:tcPr>
            <w:tcW w:w="3268" w:type="dxa"/>
            <w:tcBorders>
              <w:top w:val="nil"/>
              <w:left w:val="nil"/>
              <w:bottom w:val="single" w:sz="4" w:space="0" w:color="auto"/>
              <w:right w:val="single" w:sz="4" w:space="0" w:color="auto"/>
            </w:tcBorders>
            <w:shd w:val="clear" w:color="auto" w:fill="auto"/>
            <w:vAlign w:val="bottom"/>
          </w:tcPr>
          <w:p w:rsidR="008C2178" w:rsidRPr="00A84CA7" w:rsidRDefault="008C2178" w:rsidP="008C2178">
            <w:pPr>
              <w:pStyle w:val="aa"/>
              <w:spacing w:line="240" w:lineRule="auto"/>
              <w:ind w:firstLine="0"/>
              <w:jc w:val="center"/>
              <w:rPr>
                <w:color w:val="000000" w:themeColor="text1"/>
              </w:rPr>
            </w:pPr>
            <w:r w:rsidRPr="00A84CA7">
              <w:rPr>
                <w:color w:val="000000" w:themeColor="text1"/>
              </w:rPr>
              <w:t>2618058.32</w:t>
            </w:r>
          </w:p>
        </w:tc>
      </w:tr>
    </w:tbl>
    <w:p w:rsidR="008C2178" w:rsidRPr="00A84CA7" w:rsidRDefault="008C2178" w:rsidP="008C2178">
      <w:pPr>
        <w:pStyle w:val="ad"/>
        <w:spacing w:after="240" w:line="240" w:lineRule="auto"/>
        <w:ind w:left="142" w:right="125" w:firstLine="656"/>
        <w:rPr>
          <w:color w:val="000000" w:themeColor="text1"/>
          <w:szCs w:val="24"/>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2.4 Перечень координат характерных точек границ зон планируемого размещения объектов, подлежащих переносу (переустройству) из зон планируемого размещения объектов</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9403AB" w:rsidRPr="009403AB" w:rsidRDefault="009403AB" w:rsidP="009403AB">
      <w:pPr>
        <w:spacing w:after="0"/>
        <w:ind w:left="142" w:right="142" w:firstLine="709"/>
        <w:jc w:val="both"/>
        <w:rPr>
          <w:rFonts w:ascii="Times New Roman" w:eastAsia="Times New Roman" w:hAnsi="Times New Roman" w:cs="Times New Roman"/>
          <w:bCs/>
          <w:kern w:val="32"/>
          <w:sz w:val="24"/>
          <w:szCs w:val="24"/>
          <w:lang w:eastAsia="ru-RU"/>
        </w:rPr>
      </w:pPr>
      <w:r w:rsidRPr="009403AB">
        <w:rPr>
          <w:rFonts w:ascii="Times New Roman" w:eastAsia="Times New Roman" w:hAnsi="Times New Roman" w:cs="Times New Roman"/>
          <w:sz w:val="24"/>
          <w:szCs w:val="24"/>
          <w:lang w:eastAsia="ru-RU"/>
        </w:rPr>
        <w:t>Работы связанные с демонтажем и переносом сооружений и покрытий, переносом сетей инженерно-технического обеспечения не предусматриваются</w:t>
      </w:r>
      <w:r w:rsidRPr="009403AB">
        <w:rPr>
          <w:rFonts w:ascii="Times New Roman" w:eastAsia="Times New Roman" w:hAnsi="Times New Roman" w:cs="Times New Roman"/>
          <w:sz w:val="24"/>
          <w:szCs w:val="20"/>
          <w:lang w:eastAsia="ru-RU"/>
        </w:rPr>
        <w:t>.</w:t>
      </w:r>
    </w:p>
    <w:p w:rsidR="009403AB" w:rsidRPr="009403AB" w:rsidRDefault="009403AB" w:rsidP="009403AB">
      <w:pPr>
        <w:tabs>
          <w:tab w:val="left" w:pos="1134"/>
        </w:tabs>
        <w:spacing w:after="0" w:line="240" w:lineRule="auto"/>
        <w:ind w:left="142" w:right="84" w:firstLine="567"/>
        <w:jc w:val="both"/>
        <w:rPr>
          <w:rFonts w:ascii="Times New Roman" w:eastAsia="Times New Roman" w:hAnsi="Times New Roman" w:cs="Times New Roman"/>
          <w:b/>
          <w:sz w:val="24"/>
          <w:szCs w:val="24"/>
          <w:lang w:eastAsia="ru-RU"/>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2.5 Предельные параметры разрешенного строительства, реконструкции объектов капитального строительства, входящих в состав объектов в границах зон их планируемого размещения</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8C2178" w:rsidRPr="00A84CA7" w:rsidRDefault="008C2178" w:rsidP="008C2178">
      <w:pPr>
        <w:pStyle w:val="af"/>
        <w:spacing w:before="0" w:after="0"/>
      </w:pPr>
      <w:r w:rsidRPr="00A84CA7">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8C2178" w:rsidRPr="00A84CA7" w:rsidRDefault="008C2178" w:rsidP="008C2178">
      <w:pPr>
        <w:pStyle w:val="af"/>
        <w:spacing w:before="0" w:after="0"/>
      </w:pPr>
      <w:r w:rsidRPr="00A84CA7">
        <w:t xml:space="preserve">Общая площадь зоны планируемого размещения проектируемых линейных объектов составляет 60,4101 га. </w:t>
      </w:r>
    </w:p>
    <w:p w:rsidR="009403AB" w:rsidRPr="009403AB" w:rsidRDefault="009403AB" w:rsidP="009403AB">
      <w:pPr>
        <w:tabs>
          <w:tab w:val="left" w:pos="1134"/>
          <w:tab w:val="left" w:pos="9781"/>
        </w:tabs>
        <w:spacing w:after="0" w:line="240" w:lineRule="auto"/>
        <w:ind w:left="142" w:right="84" w:firstLine="567"/>
        <w:jc w:val="both"/>
        <w:rPr>
          <w:rFonts w:ascii="Times New Roman" w:eastAsia="Times New Roman" w:hAnsi="Times New Roman" w:cs="Times New Roman"/>
          <w:b/>
          <w:sz w:val="24"/>
          <w:szCs w:val="24"/>
          <w:lang w:eastAsia="ru-RU"/>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2.6 Информация о необходимости осуществления мероприятий по защите сохраняемых объектов капитального строительства (здание, строение, сооружение, объекты, строительство которых не завершено),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   объектов</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8C2178" w:rsidRPr="008C2178" w:rsidRDefault="008C2178" w:rsidP="008C2178">
      <w:pPr>
        <w:ind w:firstLine="720"/>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Выбор трасс проектируемых линейных объектов в системе планировки территории выполнен из условия минимизации нанесения ущерба окружающей природной среде и обеспечения высокой надежности и безаварийности в период эксплуатации. Безопасность в районах прохождения проектируемых линейных объектов обеспечивается расположением их на соответствующих расстояниях от объектов инфраструктуры, что обеспечивает сохранность действующих объектов, безопасность при проведении работ и надежность объектов в процессе эксплуатации.</w:t>
      </w:r>
    </w:p>
    <w:p w:rsidR="008C2178" w:rsidRPr="008C2178" w:rsidRDefault="008C2178" w:rsidP="008C2178">
      <w:pPr>
        <w:pStyle w:val="af"/>
        <w:spacing w:before="0" w:after="0"/>
      </w:pPr>
      <w:r w:rsidRPr="008C2178">
        <w:lastRenderedPageBreak/>
        <w:t>Необходимый уровень конструктивной надежности линейных трубопроводов обеспечивается путем категорирования трубопроводов и их участков в зависимости от назначения и определения коэффициентов надежности, характеризующих назначения и условия работы трубопроводов, применяемых для трубопроводов материалы и действующие на них нагрузки.</w:t>
      </w:r>
    </w:p>
    <w:p w:rsidR="008C2178" w:rsidRDefault="008C2178"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2.7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объектов</w:t>
      </w:r>
    </w:p>
    <w:p w:rsidR="009403AB" w:rsidRPr="009403AB" w:rsidRDefault="009403AB" w:rsidP="009403AB">
      <w:pPr>
        <w:autoSpaceDE w:val="0"/>
        <w:autoSpaceDN w:val="0"/>
        <w:adjustRightInd w:val="0"/>
        <w:spacing w:after="0" w:line="240" w:lineRule="auto"/>
        <w:ind w:left="142" w:right="104" w:firstLine="567"/>
        <w:jc w:val="both"/>
        <w:rPr>
          <w:rFonts w:ascii="Times New Roman" w:eastAsia="Times New Roman" w:hAnsi="Times New Roman" w:cs="Times New Roman"/>
          <w:b/>
          <w:sz w:val="24"/>
          <w:szCs w:val="24"/>
          <w:lang w:eastAsia="ru-RU"/>
        </w:rPr>
      </w:pPr>
    </w:p>
    <w:p w:rsidR="008C2178" w:rsidRPr="00A84CA7" w:rsidRDefault="008C2178" w:rsidP="008C2178">
      <w:pPr>
        <w:pStyle w:val="ad"/>
        <w:spacing w:line="240" w:lineRule="auto"/>
        <w:ind w:firstLine="720"/>
        <w:rPr>
          <w:color w:val="000000" w:themeColor="text1"/>
          <w:szCs w:val="24"/>
        </w:rPr>
      </w:pPr>
      <w:r w:rsidRPr="00A84CA7">
        <w:rPr>
          <w:color w:val="000000" w:themeColor="text1"/>
          <w:szCs w:val="24"/>
        </w:rPr>
        <w:t xml:space="preserve">Согласно Заключению службы государственной охраны ОИКН ХМАО-Югры №20-3290 от 29.07.2020 объекты культурного наследия федерального, регионального и местного значения отсутствуют. </w:t>
      </w:r>
    </w:p>
    <w:p w:rsidR="009403AB" w:rsidRPr="009403AB" w:rsidRDefault="009403AB" w:rsidP="009403AB">
      <w:pPr>
        <w:tabs>
          <w:tab w:val="left" w:pos="1134"/>
        </w:tabs>
        <w:spacing w:after="0" w:line="240" w:lineRule="auto"/>
        <w:ind w:left="142" w:right="84" w:firstLine="567"/>
        <w:jc w:val="both"/>
        <w:rPr>
          <w:rFonts w:ascii="Times New Roman" w:eastAsia="Times New Roman" w:hAnsi="Times New Roman" w:cs="Times New Roman"/>
          <w:b/>
          <w:sz w:val="24"/>
          <w:szCs w:val="24"/>
          <w:lang w:eastAsia="ru-RU"/>
        </w:rPr>
      </w:pP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r w:rsidRPr="009403AB">
        <w:rPr>
          <w:rFonts w:ascii="Times New Roman" w:eastAsia="Times New Roman" w:hAnsi="Times New Roman" w:cs="Times New Roman"/>
          <w:b/>
          <w:sz w:val="24"/>
          <w:szCs w:val="24"/>
          <w:lang w:eastAsia="ru-RU"/>
        </w:rPr>
        <w:t>2.8 Информация о необходимости осуществления мероприятий по охране окружающей среды</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4"/>
          <w:lang w:eastAsia="ru-RU"/>
        </w:rPr>
      </w:pP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Для предотвращения или минимизации возможного ущерба окружающей среде проектом предусмотрен комплекс мероприятий.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по охране водных объектов</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В соответствии со ст. 56 «Охрана водных объектов от загрязнения и засорения» Водного кодекса Российской Федерации: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1. Сброс в водные объекты и захоронение в них отходов производства и потребления, запрещается.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4. Содержание радиоактивных веществ, пестицидов, </w:t>
      </w:r>
      <w:proofErr w:type="spellStart"/>
      <w:r w:rsidRPr="008C2178">
        <w:rPr>
          <w:rFonts w:ascii="Times New Roman" w:eastAsia="Times New Roman" w:hAnsi="Times New Roman" w:cs="Times New Roman"/>
          <w:sz w:val="24"/>
          <w:szCs w:val="24"/>
          <w:lang w:eastAsia="ru-RU"/>
        </w:rPr>
        <w:t>агрохимикатов</w:t>
      </w:r>
      <w:proofErr w:type="spellEnd"/>
      <w:r w:rsidRPr="008C2178">
        <w:rPr>
          <w:rFonts w:ascii="Times New Roman" w:eastAsia="Times New Roman" w:hAnsi="Times New Roman" w:cs="Times New Roman"/>
          <w:sz w:val="24"/>
          <w:szCs w:val="24"/>
          <w:lang w:eastAsia="ru-RU"/>
        </w:rPr>
        <w:t xml:space="preserve">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5. Захоронение в водных объектах ядерных материалов, радиоактивных веществ запрещается.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6. Сброс в водные объекты сточных вод, содержание в которых радиоактивных веществ, пестицидов, </w:t>
      </w:r>
      <w:proofErr w:type="spellStart"/>
      <w:r w:rsidRPr="008C2178">
        <w:rPr>
          <w:rFonts w:ascii="Times New Roman" w:eastAsia="Times New Roman" w:hAnsi="Times New Roman" w:cs="Times New Roman"/>
          <w:sz w:val="24"/>
          <w:szCs w:val="24"/>
          <w:lang w:eastAsia="ru-RU"/>
        </w:rPr>
        <w:t>агрохимикатов</w:t>
      </w:r>
      <w:proofErr w:type="spellEnd"/>
      <w:r w:rsidRPr="008C2178">
        <w:rPr>
          <w:rFonts w:ascii="Times New Roman" w:eastAsia="Times New Roman" w:hAnsi="Times New Roman" w:cs="Times New Roman"/>
          <w:sz w:val="24"/>
          <w:szCs w:val="24"/>
          <w:lang w:eastAsia="ru-RU"/>
        </w:rPr>
        <w:t xml:space="preserve"> и других опасных для здоровья человека веществ и соединений превышает нормативы допустимого воздействия на водные объекты, запрещается.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 </w:t>
      </w:r>
    </w:p>
    <w:p w:rsidR="008C2178" w:rsidRPr="008C2178" w:rsidRDefault="008C2178" w:rsidP="008C2178">
      <w:pPr>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по предотвращению загрязнения атмосферного воздуха</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При строительстве проектируемого объекта основную массу выбросов вносит строительная техника и передвижной транспорт. Поэтому мероприятия по уменьшению выбросов загрязняющих веществ относится к транспорту и строительной технике.</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целях уменьшения загрязнения воздушного бассейна вредными веществами, выбрасываемыми двигателями внутреннего сгорания строительной и транспортной техникой, рекомендуется проведение следующих мероприятий:</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lastRenderedPageBreak/>
        <w:t>осуществление запуска и прогрева двигателей транспортных средств по утвержденному графику с обязательной диагностикой выхлопа загрязняющих веществ;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запрет на передвижение техники, не задействованной в технологии строительства с работающими двигателями в ночное время;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движение транспорта по запланированной схеме, недопущение неконтролируемых поездок;</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создание постов диагностики и контрольно-регулировочных пунктов для проверки технического состояния и регулировки двигателей транспортных средств.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для снижения концентрации пыли транспортные системы, участвующие в перевозке грунта должны быть снабжены укрытиями;</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рациональная организация площадки строительства, предотвращающая скопление техники на площадке.</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При эксплуатации проектируемого объекта предусмотрены следующие технические решения, позволяющие свести до минимума вредное воздействие на атмосферный воздух и предотвращение аварийных ситуаций:</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своевременное проведение профилактических осмотров, организация планового текущего и капитального ремонта с заменой коррозионно-опасных участков;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использование материалов и оборудования, соответствующих климатическим районам строительства;</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все применяемые материалы и оборудование являются сертифицированными для применения на промышленных объектах Российской Федерации и имеют сертификаты соответствия требованиям национальных стандартов, норм, правил, руководящих документов, инструкций в области промышленной безопасности, действующих в Российской Федерации;</w:t>
      </w:r>
    </w:p>
    <w:p w:rsidR="008C2178" w:rsidRPr="008C2178" w:rsidRDefault="008C2178" w:rsidP="008C2178">
      <w:pPr>
        <w:widowControl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Предлагаемые мероприятия при условии строгого соблюдения режима эксплуатации, своевременного проведения профилактических осмотров состояния оборудования позволят снизить воздействие проектируемого объекта на атмосферный воздух.</w:t>
      </w:r>
    </w:p>
    <w:p w:rsidR="008C2178" w:rsidRPr="008C2178" w:rsidRDefault="008C2178" w:rsidP="008C2178">
      <w:pPr>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направленные на снижение влияния образующихся отходов, на состояние окружающей среды</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Образование отходов является неотъемлемой частью технологических процессов, в ходе которых они образуются. Все эти операции должны осуществляться с соблюдением экологических требований, правил техники безопасности и пожарной безопасности с целью исключения аварийных ситуаций, возгораний, причинения вреда окружающей среде и здоровью людей.</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 целью предотвращения загрязнения окружающей среды отходами производства и потребления необходимо предусмотреть следующие мероприятия: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proofErr w:type="gramStart"/>
      <w:r w:rsidRPr="008C2178">
        <w:rPr>
          <w:b w:val="0"/>
          <w:sz w:val="24"/>
          <w:szCs w:val="24"/>
        </w:rPr>
        <w:t>организация</w:t>
      </w:r>
      <w:proofErr w:type="gramEnd"/>
      <w:r w:rsidRPr="008C2178">
        <w:rPr>
          <w:b w:val="0"/>
          <w:sz w:val="24"/>
          <w:szCs w:val="24"/>
        </w:rPr>
        <w:t xml:space="preserve"> мест складирования отходов в соответствии с СанПиНом 2.1.7.1322-03 «Гигиенические требования к размещению и обезвреживанию отходов производства и потребления»;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соблюдение правил временного складирования отходов (раздельный сбор и накопление отходов в зависимости от класса опасности и физико-химической характеристики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очистка строительной площадки и территории, прилегающей к ней, от строительных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предварительное заключение договоров на вывоз и размещение образующихся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сбор и вывоз отходов, согласно заключенным договорам, с использованием специализированного автотранспорта;</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соблюдение графика вывоза отходов.</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В процессе строительства и эксплуатации проектируемых объектов образуются отходы, которые в зависимости от класса опасности и физико-химических свойств накапливаются на площадках, оборудованных в соответствии с санитарно-эпидемиологическими нормами и правилами. Требования к местам накопления отходов устанавливаются экологическими, </w:t>
      </w:r>
      <w:r w:rsidRPr="008C2178">
        <w:rPr>
          <w:rFonts w:ascii="Times New Roman" w:eastAsia="Times New Roman" w:hAnsi="Times New Roman" w:cs="Times New Roman"/>
          <w:sz w:val="24"/>
          <w:szCs w:val="24"/>
          <w:lang w:eastAsia="ru-RU"/>
        </w:rPr>
        <w:lastRenderedPageBreak/>
        <w:t>санитарными, противопожарными и другими нормами и правилами. В соответствии с этими требованиями место и способ накопления отхода должны гарантировать следующее:</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отсутствие или минимизацию влияния накапливаемого отхода на окружающую природную среду;</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недопустимость риска возникновения опасности для здоровья людей в результате локального влияния токсичных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proofErr w:type="gramStart"/>
      <w:r w:rsidRPr="008C2178">
        <w:rPr>
          <w:b w:val="0"/>
          <w:sz w:val="24"/>
          <w:szCs w:val="24"/>
        </w:rPr>
        <w:t>предотвращение</w:t>
      </w:r>
      <w:proofErr w:type="gramEnd"/>
      <w:r w:rsidRPr="008C2178">
        <w:rPr>
          <w:b w:val="0"/>
          <w:sz w:val="24"/>
          <w:szCs w:val="24"/>
        </w:rPr>
        <w:t xml:space="preserve"> потери отходом свойств вторичного сырья в результате неправильного сбора и накопления;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сведение к минимуму риска возгорания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недопущение замусоривания территории;</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proofErr w:type="gramStart"/>
      <w:r w:rsidRPr="008C2178">
        <w:rPr>
          <w:b w:val="0"/>
          <w:sz w:val="24"/>
          <w:szCs w:val="24"/>
        </w:rPr>
        <w:t>удобство</w:t>
      </w:r>
      <w:proofErr w:type="gramEnd"/>
      <w:r w:rsidRPr="008C2178">
        <w:rPr>
          <w:b w:val="0"/>
          <w:sz w:val="24"/>
          <w:szCs w:val="24"/>
        </w:rPr>
        <w:t xml:space="preserve"> осуществления контроля за обращением с отходами;</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удобство вывоза отходов;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площадки для накопления отходов должны располагаться в подветренной зоне территории, покрыты асфальтом (бетоном) и оборудованы конструкциями, предохраняющими отходы от воздействия атмосферных осадков и ветра.</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Согласно СанПиН 2.1.7.1322-03 «Гигиенические требования к размещению и обезвреживанию отходов производства и потребления» условия накопления отходов определяются классом опасности отходов.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Накопление отходов производится при условии:</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1 класс опасности – в герметичных оборотных (сменных) емкостях (контейнерах);</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2 класс опасности – в надежно закрытой таре;</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3 класс опасности – в бумажных мешках, пакетах, в хлопчатобумажных тканевых мешках, жидкие – в закрытых емкостях;</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4 класс опасности – открыто навалом, насыпью.</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Временное складирование отходов предусматривается в пределах строительной площадки в местах централизованного накопления транспортной партии отходов. При складировании отходы сортируются для удобства дальнейшего вывоза специализированными организациями. Сортировка проводится путем разделения и/или смешивания отходов, согласно определенным критериям, на качественно различающиеся составляющие.</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В период строительства объектов предусматривается оснащенность стройплощадки емкостями, контейнерами, специально оборудованными площадками для сбора производственных отходов III, IV и V классов опасности, лома черного металла.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Вся площадь земельного участка, используемая для строительства, должна быть очищена и принята представителем землепользователя. Очистка производится непосредственно после окончания работ по строительству проектируемого объекта. Все ненужные материалы и отходы должны быть собраны и подлежат размещению.</w:t>
      </w:r>
    </w:p>
    <w:p w:rsidR="008C2178" w:rsidRPr="008C2178" w:rsidRDefault="008C2178" w:rsidP="008C2178">
      <w:pPr>
        <w:tabs>
          <w:tab w:val="left" w:pos="3360"/>
        </w:tabs>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В соответствии с СанПиНом 42-128-4690-88 «Санитарные правила содержания территорий населенных мест» металлические сборники отходов в летний период промываются (при «несменяемой» системе не реже одного раза в 10 дней, «сменяемой» - после опорожнения). </w:t>
      </w:r>
    </w:p>
    <w:p w:rsidR="008C2178" w:rsidRPr="008C2178" w:rsidRDefault="008C2178" w:rsidP="008C2178">
      <w:pPr>
        <w:widowControl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При временном складировании отходов исключена возможность их загнивания и разложения, поэтому срок накопления отходов в холодное время года при температуре минус 5оС и ниже не более трех суток, в теплое время при плюсовой температуре свыше 5оС не более одних суток (ежедневный вывоз).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Сбор негабаритных отходов производится по мере их накопления, но не реже одного раза в неделю.</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Для накопления бытовых и строительных отходов на территории объектов предусмотрена площадка для установки контейнеров и раздельного сбора бытовых и промышленных отходов. Вывоз отходов периодически, по мере накопления, предусматривается по договору со специализированной организацией, имеющей лицензию на деятельность по обращению с отходами</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lastRenderedPageBreak/>
        <w:t xml:space="preserve">Место накопления отходов представляет собой открытую площадку для мусоросборников с твердым покрытием из железобетонных плит. В местах складирования отходов предусмотрены специальные передвижные контейнеры, с соблюдением беспрепятственного подъезда транспорта для их погрузки и вывоза в места размещения в соответствии с СанПиНом 2.1.7.1322-03. Контейнеры маркируются и содержатся в надлежащем состоянии.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Накопление производимых предприятием отходов соответствует требованиям пожарной, санитарной и экологической безопасности в пределах территории предприятия. Воздействия на окружающую среду отходы при соблюдении правил накопления и своевременном вывозе не оказывают.</w:t>
      </w:r>
    </w:p>
    <w:p w:rsidR="008C2178" w:rsidRPr="008C2178" w:rsidRDefault="008C2178" w:rsidP="008C2178">
      <w:pPr>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по охране объектов растительного и животного мира и среды их обитания</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Животный мир Тюменской области относится к равнинной лесной зональной области. Современная фауна чрезвычайно разнообразна в видовом отношении.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Самым крупным представителем отряда грызунов является речной бобр. Наиболее крупным хищником фауны области является бурый медведь. Из отряда парнокопытных самым крупным представителем семейства современных оленей является лось. Также встречается сибирская косуля, кабан, белка, горностай, заяц-беляк, лисица обыкновенная, американская норка, выдра, ондатра, барсук обыкновенный.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Птицы, населяющие территорию области, многочисленны и разнообразны. Среди них встречаются как виды, постоянно живущие на территории Тюменской области (оседлые), так и мигрирующие, кочующие. </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Большинство обитающих в Тюменской области птиц относится к отряду </w:t>
      </w:r>
      <w:proofErr w:type="spellStart"/>
      <w:r w:rsidRPr="008C2178">
        <w:rPr>
          <w:rFonts w:ascii="Times New Roman" w:eastAsia="Times New Roman" w:hAnsi="Times New Roman" w:cs="Times New Roman"/>
          <w:sz w:val="24"/>
          <w:szCs w:val="24"/>
          <w:lang w:eastAsia="ru-RU"/>
        </w:rPr>
        <w:t>воробьинообразные</w:t>
      </w:r>
      <w:proofErr w:type="spellEnd"/>
      <w:r w:rsidRPr="008C2178">
        <w:rPr>
          <w:rFonts w:ascii="Times New Roman" w:eastAsia="Times New Roman" w:hAnsi="Times New Roman" w:cs="Times New Roman"/>
          <w:sz w:val="24"/>
          <w:szCs w:val="24"/>
          <w:lang w:eastAsia="ru-RU"/>
        </w:rPr>
        <w:t xml:space="preserve"> (зяблики, скворцы, синицы, ласточки, мухоловки, пеночки, дрозды, горихвостки, жаворонки, вьюрки, славки, трясогузки, сорокопуты, иволги, </w:t>
      </w:r>
      <w:proofErr w:type="spellStart"/>
      <w:r w:rsidRPr="008C2178">
        <w:rPr>
          <w:rFonts w:ascii="Times New Roman" w:eastAsia="Times New Roman" w:hAnsi="Times New Roman" w:cs="Times New Roman"/>
          <w:sz w:val="24"/>
          <w:szCs w:val="24"/>
          <w:lang w:eastAsia="ru-RU"/>
        </w:rPr>
        <w:t>врановые</w:t>
      </w:r>
      <w:proofErr w:type="spellEnd"/>
      <w:r w:rsidRPr="008C2178">
        <w:rPr>
          <w:rFonts w:ascii="Times New Roman" w:eastAsia="Times New Roman" w:hAnsi="Times New Roman" w:cs="Times New Roman"/>
          <w:sz w:val="24"/>
          <w:szCs w:val="24"/>
          <w:lang w:eastAsia="ru-RU"/>
        </w:rPr>
        <w:t xml:space="preserve">, свиристели, крапивники, завирушки, корольки, поползни, пищухи, овсянки). Помимо </w:t>
      </w:r>
      <w:proofErr w:type="spellStart"/>
      <w:r w:rsidRPr="008C2178">
        <w:rPr>
          <w:rFonts w:ascii="Times New Roman" w:eastAsia="Times New Roman" w:hAnsi="Times New Roman" w:cs="Times New Roman"/>
          <w:sz w:val="24"/>
          <w:szCs w:val="24"/>
          <w:lang w:eastAsia="ru-RU"/>
        </w:rPr>
        <w:t>воробьинообразных</w:t>
      </w:r>
      <w:proofErr w:type="spellEnd"/>
      <w:r w:rsidRPr="008C2178">
        <w:rPr>
          <w:rFonts w:ascii="Times New Roman" w:eastAsia="Times New Roman" w:hAnsi="Times New Roman" w:cs="Times New Roman"/>
          <w:sz w:val="24"/>
          <w:szCs w:val="24"/>
          <w:lang w:eastAsia="ru-RU"/>
        </w:rPr>
        <w:t xml:space="preserve"> обитают дятлы, кукушки, совы, голуби, козодои, стрижи, удоды, а также такие представители охотничьих ресурсов, как рябчик, глухарь, тетерев и куропатка белая. Основные представители хищных видов птиц: ястребы, соколы, луни, канюки, коршуны, подорлики, орланы-белохвосты. </w:t>
      </w:r>
    </w:p>
    <w:p w:rsidR="008C2178" w:rsidRPr="008C2178" w:rsidRDefault="008C2178" w:rsidP="008C2178">
      <w:pPr>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по охране недр</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Охрана недр от загрязнения обеспечивается главным образом, предусмотренными мероприятиями, исключающими загрязнение ниже лежащих горизонтов и снижения активизации экзогенных процессов и явления.</w:t>
      </w:r>
    </w:p>
    <w:p w:rsidR="008C2178" w:rsidRPr="008C2178" w:rsidRDefault="008C2178" w:rsidP="008C2178">
      <w:pPr>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К основным мероприятиям, принятым в проекте, и направленным на рациональное использование и охрану недр при строительстве проектируемых объектов, относятся: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предотвращение накопления строительных и бытовых отходов в местах залегания подземных вод;</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применение материалов и оборудования соответствующей климатическим условиям района строительства;</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постоянные осмотры оборудования в период эксплуатации с записями результатов осмотра в эксплуатационном журнале;</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предотвращение загрязнения недр (водных горизонтов, почв);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организация работ по рекультивации высвобождаемых от разработки площадей земной поверхности.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Таким образом, при соблюдении всех технических решений, предусмотренных проектом воздействие на состояние недр и окружающей природной среды при строительстве и эксплуатации проектируемого объекта, будут минимальны.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Мероприятия по ведению локального экологического мониторинга компонентов окружающей среды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lastRenderedPageBreak/>
        <w:t>Экологический мониторинг – многоцелевая информационная система, в задачи которой входят систематические наблюдения, оценка и прогноз состояния окружающей природной среды под влиянием антропогенного воздействия с целью информирования о создающихся критических ситуациях, опасных для здоровья людей, благополучия других живых существ, их сообществ, абиотических природных и созданных человеком объектов, процессов и явлений.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Мониторинг ведется в соответствии с разработанным и согласованным специально уполномоченными органами Проектом системы локального мониторинга лицензионного участка.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Целью экологического мониторинга является получение информации о состоянии компонентов окружающей природной среды: почвенного и растительного покрова, поверхностных и грунтовых вод, атмосферного воздуха в районе размещения нефтегазопромысловых объектов. Полученная в результате мониторинга информация может быть использована для предотвращения негативных экологических и социальных последствий.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задачи производственного экологического мониторинга входит:</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количественная и качественная оценка степени влияния проектируемого объекта на компоненты окружающей среды;</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наблюдение за развитием опасных природно-техногенных процессов и выявление их воздействия на состояние окружающей среды в зоне влияния объектов обустройства лицензионного участка;</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анализ причин загрязнения окружающей среды;</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обеспечение управленческого аппарата предприятия и природоохранных органов систематизированными данными об уровне загрязнения окружающей среды, прогнозом их изменений, а также экстренной информацией при резких повышениях в природных средах уровня содержания загрязняющих веществ.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Процедура разработки программы экологического мониторинга подразумевает определение местоположения и оптимального количества пунктов отбора проб природных компонентов, а также определяемых загрязняющих веществ, периодичности проведения контроля различных сред и показателей.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рамках программы мониторинга за проектируемым объектом, контроль за состоянием окружающей среды необходимо осуществлять по следующим направлениям:</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атмосферный воздух;</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снежный покров;</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поверхностные воды и донные отложения;</w:t>
      </w:r>
    </w:p>
    <w:p w:rsidR="008C2178" w:rsidRPr="008C2178" w:rsidRDefault="008C2178" w:rsidP="008C2178">
      <w:pPr>
        <w:pStyle w:val="af1"/>
        <w:numPr>
          <w:ilvl w:val="0"/>
          <w:numId w:val="2"/>
        </w:numPr>
        <w:tabs>
          <w:tab w:val="clear" w:pos="1620"/>
          <w:tab w:val="num" w:pos="180"/>
        </w:tabs>
        <w:suppressAutoHyphens/>
        <w:ind w:left="181" w:right="125" w:firstLine="669"/>
        <w:jc w:val="both"/>
        <w:rPr>
          <w:b w:val="0"/>
          <w:sz w:val="24"/>
          <w:szCs w:val="24"/>
        </w:rPr>
      </w:pPr>
      <w:r w:rsidRPr="008C2178">
        <w:rPr>
          <w:b w:val="0"/>
          <w:sz w:val="24"/>
          <w:szCs w:val="24"/>
        </w:rPr>
        <w:t>- почвенный</w:t>
      </w:r>
      <w:r w:rsidRPr="00A84CA7">
        <w:rPr>
          <w:b w:val="0"/>
          <w:sz w:val="24"/>
          <w:szCs w:val="24"/>
        </w:rPr>
        <w:t xml:space="preserve"> покров.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случае выявления в результате проведения мониторинга превышения природоохранных нормативов руководитель лабораторной службы ставит об этом в известность руководителя предприятия.</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Оценка физико-химического состояния компонентов природной среды осуществляется методом сравнительного анализа полученных данных с ПДК.</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Мониторинг состояния основных компонентов окружающей среды проводятся как на участках не подверженных антропогенному воздействию (фон), так и вблизи техногенных объектов (контроль).</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Выбор количества и местоположения площадок отбора проб компонентов природной среды, которые должны учитываться при разработке общей системы экологического мониторинга территории планируемого строительства, должно определялся проектными решениями.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Выбор пунктов мониторинга, перечень загрязняющих веществ и параметров, подлежащих обязательному исследованию, периодичность проведения осуществляется в соответствии с требованиями РД 52.44.2-94 «Методические указания. Охрана природы. Комплексное обследование загрязнения природных сред промышленных районов с интенсивной антропогенной нагрузкой».</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0"/>
          <w:lang w:eastAsia="ru-RU"/>
        </w:rPr>
      </w:pPr>
      <w:r w:rsidRPr="009403AB">
        <w:rPr>
          <w:rFonts w:ascii="Times New Roman" w:eastAsia="Times New Roman" w:hAnsi="Times New Roman" w:cs="Times New Roman"/>
          <w:b/>
          <w:sz w:val="24"/>
          <w:szCs w:val="20"/>
          <w:lang w:eastAsia="ru-RU"/>
        </w:rPr>
        <w:lastRenderedPageBreak/>
        <w:t>2.9 Информация о необходимости осуществления мероприятий по защите территорий от чрезвычайных ситуаций природного и техногенного характера, в том числе по обеспечению пожарной безопасности и по гражданской обороне</w:t>
      </w:r>
    </w:p>
    <w:p w:rsidR="009403AB" w:rsidRPr="009403AB" w:rsidRDefault="009403AB" w:rsidP="009403AB">
      <w:pPr>
        <w:tabs>
          <w:tab w:val="left" w:pos="1134"/>
        </w:tabs>
        <w:spacing w:after="0" w:line="240" w:lineRule="auto"/>
        <w:ind w:left="142" w:right="84"/>
        <w:jc w:val="center"/>
        <w:rPr>
          <w:rFonts w:ascii="Times New Roman" w:eastAsia="Times New Roman" w:hAnsi="Times New Roman" w:cs="Times New Roman"/>
          <w:b/>
          <w:sz w:val="24"/>
          <w:szCs w:val="20"/>
          <w:lang w:eastAsia="ru-RU"/>
        </w:rPr>
      </w:pP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b/>
          <w:sz w:val="24"/>
          <w:szCs w:val="24"/>
          <w:lang w:eastAsia="ru-RU"/>
        </w:rPr>
      </w:pPr>
      <w:bookmarkStart w:id="1" w:name="_Toc146590912"/>
      <w:bookmarkStart w:id="2" w:name="_Toc204045310"/>
      <w:bookmarkStart w:id="3" w:name="_Toc263252794"/>
      <w:r w:rsidRPr="008C2178">
        <w:rPr>
          <w:rFonts w:ascii="Times New Roman" w:eastAsia="Times New Roman" w:hAnsi="Times New Roman" w:cs="Times New Roman"/>
          <w:b/>
          <w:sz w:val="24"/>
          <w:szCs w:val="24"/>
          <w:lang w:eastAsia="ru-RU"/>
        </w:rPr>
        <w:t>Перечень мероприятий по предупреждению</w:t>
      </w:r>
      <w:bookmarkStart w:id="4" w:name="_Toc146590903"/>
      <w:bookmarkStart w:id="5" w:name="_Toc353800888"/>
      <w:bookmarkStart w:id="6" w:name="_Toc340672104"/>
      <w:bookmarkStart w:id="7" w:name="_Toc307318056"/>
      <w:bookmarkStart w:id="8" w:name="_Toc304810397"/>
      <w:bookmarkStart w:id="9" w:name="_Toc296949399"/>
      <w:bookmarkStart w:id="10" w:name="_Toc263252781"/>
      <w:r w:rsidRPr="008C2178">
        <w:rPr>
          <w:rFonts w:ascii="Times New Roman" w:eastAsia="Times New Roman" w:hAnsi="Times New Roman" w:cs="Times New Roman"/>
          <w:b/>
          <w:sz w:val="24"/>
          <w:szCs w:val="24"/>
          <w:lang w:eastAsia="ru-RU"/>
        </w:rPr>
        <w:t xml:space="preserve"> чрезвычайных </w:t>
      </w:r>
      <w:bookmarkStart w:id="11" w:name="_Toc466465447"/>
      <w:bookmarkStart w:id="12" w:name="_Toc521397880"/>
      <w:bookmarkStart w:id="13" w:name="_Toc54767618"/>
      <w:r w:rsidRPr="008C2178">
        <w:rPr>
          <w:rFonts w:ascii="Times New Roman" w:eastAsia="Times New Roman" w:hAnsi="Times New Roman" w:cs="Times New Roman"/>
          <w:b/>
          <w:sz w:val="24"/>
          <w:szCs w:val="24"/>
          <w:lang w:eastAsia="ru-RU"/>
        </w:rPr>
        <w:t>ситуаций</w:t>
      </w:r>
      <w:bookmarkEnd w:id="4"/>
      <w:r w:rsidRPr="008C2178">
        <w:rPr>
          <w:rFonts w:ascii="Times New Roman" w:eastAsia="Times New Roman" w:hAnsi="Times New Roman" w:cs="Times New Roman"/>
          <w:b/>
          <w:sz w:val="24"/>
          <w:szCs w:val="24"/>
          <w:lang w:eastAsia="ru-RU"/>
        </w:rPr>
        <w:t xml:space="preserve"> природного и техногенного</w:t>
      </w:r>
      <w:bookmarkStart w:id="14" w:name="_Toc353800889"/>
      <w:bookmarkStart w:id="15" w:name="_Toc340672105"/>
      <w:bookmarkStart w:id="16" w:name="_Toc307318057"/>
      <w:bookmarkStart w:id="17" w:name="_Toc304810398"/>
      <w:bookmarkStart w:id="18" w:name="_Toc296949400"/>
      <w:bookmarkStart w:id="19" w:name="_Toc263252782"/>
      <w:bookmarkEnd w:id="5"/>
      <w:bookmarkEnd w:id="6"/>
      <w:bookmarkEnd w:id="7"/>
      <w:bookmarkEnd w:id="8"/>
      <w:bookmarkEnd w:id="9"/>
      <w:bookmarkEnd w:id="10"/>
      <w:r w:rsidRPr="008C2178">
        <w:rPr>
          <w:rFonts w:ascii="Times New Roman" w:eastAsia="Times New Roman" w:hAnsi="Times New Roman" w:cs="Times New Roman"/>
          <w:b/>
          <w:sz w:val="24"/>
          <w:szCs w:val="24"/>
          <w:lang w:eastAsia="ru-RU"/>
        </w:rPr>
        <w:t xml:space="preserve"> характера</w:t>
      </w:r>
      <w:bookmarkEnd w:id="11"/>
      <w:bookmarkEnd w:id="12"/>
      <w:bookmarkEnd w:id="13"/>
      <w:bookmarkEnd w:id="14"/>
      <w:bookmarkEnd w:id="15"/>
      <w:bookmarkEnd w:id="16"/>
      <w:bookmarkEnd w:id="17"/>
      <w:bookmarkEnd w:id="18"/>
      <w:bookmarkEnd w:id="19"/>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Для защиты жизни и здоровья населения в ЧС следует применять следующие основные мероприятия гражданской обороны, являющиеся составной частью мероприятий РСЧС:</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укрытие людей в приспособленных под нужды защиты населения помещениях производственных, общественных и жилых зданий, а также в специальных защитных сооружениях;</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эвакуацию населения из зон ЧС;</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использование средств индивидуальной защиты органов дыхания и кожных покровов;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проведение мероприятий медицинской защиты;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проведение аварийно-спасательных и других неотложных работ в зонах ЧС.</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Проектная документация разработана применительно к опасному объекту – ОПО, отношение к опасным производственным объектам в соответствии с п. 1 ст. 2 Федерального закона №116-ФЗ.</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Категория ОПО в соответствии с приложением 1 к №116-ФЗ – опасный производственный объект, на котором:</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получаются, используются, транспортируются опасные вещества: воспламеняющиеся вещества; горючие вещества.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данном проекте для проектируемых объектов на действующем месторождении выполнены следующие мероприятия по обеспечению выполнения требований, предъявляемых к техническим устройствам, оборудованию, зданиям, строениям и сооружениям на опасных производственных объектах: уровень ответственности зданий и сооружений в соответствии с Федеральным законом РФ №384-Ф3 от 30 декабря 2009 г. «Технический регламент о безопасности зданий и сооружений» в проекте принят повышенный.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8C2178">
        <w:rPr>
          <w:rFonts w:ascii="Times New Roman" w:eastAsia="Times New Roman" w:hAnsi="Times New Roman" w:cs="Times New Roman"/>
          <w:b/>
          <w:sz w:val="24"/>
          <w:szCs w:val="24"/>
          <w:lang w:eastAsia="ru-RU"/>
        </w:rPr>
        <w:t>Мероприятия, направленные на уменьшение риска</w:t>
      </w:r>
      <w:bookmarkStart w:id="20" w:name="_Toc54767645"/>
      <w:r w:rsidR="00CF1F08">
        <w:rPr>
          <w:rFonts w:ascii="Times New Roman" w:eastAsia="Times New Roman" w:hAnsi="Times New Roman" w:cs="Times New Roman"/>
          <w:b/>
          <w:sz w:val="24"/>
          <w:szCs w:val="24"/>
          <w:lang w:eastAsia="ru-RU"/>
        </w:rPr>
        <w:t xml:space="preserve"> </w:t>
      </w:r>
      <w:r w:rsidRPr="008C2178">
        <w:rPr>
          <w:rFonts w:ascii="Times New Roman" w:eastAsia="Times New Roman" w:hAnsi="Times New Roman" w:cs="Times New Roman"/>
          <w:b/>
          <w:sz w:val="24"/>
          <w:szCs w:val="24"/>
          <w:lang w:eastAsia="ru-RU"/>
        </w:rPr>
        <w:t xml:space="preserve">чрезвычайных </w:t>
      </w:r>
      <w:bookmarkStart w:id="21" w:name="_Toc521397908"/>
      <w:bookmarkStart w:id="22" w:name="_Toc466465475"/>
      <w:r w:rsidRPr="008C2178">
        <w:rPr>
          <w:rFonts w:ascii="Times New Roman" w:eastAsia="Times New Roman" w:hAnsi="Times New Roman" w:cs="Times New Roman"/>
          <w:b/>
          <w:sz w:val="24"/>
          <w:szCs w:val="24"/>
          <w:lang w:eastAsia="ru-RU"/>
        </w:rPr>
        <w:t>ситуаций на проектируемом объекте</w:t>
      </w:r>
      <w:bookmarkEnd w:id="20"/>
      <w:bookmarkEnd w:id="21"/>
      <w:bookmarkEnd w:id="22"/>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Безопасность проектируемых объектов гарантируется на период эксплуатации при строгом соблюдении требований действующих нормативных документов по проектированию, а также строительству и эксплуатации.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Проектная документация разработана в соответствии с действующими нормативными документами по проектированию.</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Заложенные в проектной документации огнестойкость, объёмно-планировочные и конструктивные решения зданий удовлетворяют требованиям гражданской обороны.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проектной документации приняты следующие технологические решения по исключению разгерметизации оборудования и трубопроводов: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размещение технологического оборудования и сооружений с обеспечением необходимых по нормам проходов, проездов, противопожарных разрывов;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соблюдение минимально-допустимых расстояний между оборудованием с соблюдением необходимых проходов;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контроль работы оборудования и трубопроводов приборами автоматизации;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выбор материала труб, арматуры из условий эксплуатации;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антикоррозийная защита наружных поверхностей стальных участков трубопроводов, аппаратов;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spellStart"/>
      <w:r w:rsidRPr="008C2178">
        <w:rPr>
          <w:rFonts w:ascii="Times New Roman" w:eastAsia="Times New Roman" w:hAnsi="Times New Roman" w:cs="Times New Roman"/>
          <w:sz w:val="24"/>
          <w:szCs w:val="24"/>
          <w:lang w:eastAsia="ru-RU"/>
        </w:rPr>
        <w:t>молниезащита</w:t>
      </w:r>
      <w:proofErr w:type="spellEnd"/>
      <w:r w:rsidRPr="008C2178">
        <w:rPr>
          <w:rFonts w:ascii="Times New Roman" w:eastAsia="Times New Roman" w:hAnsi="Times New Roman" w:cs="Times New Roman"/>
          <w:sz w:val="24"/>
          <w:szCs w:val="24"/>
          <w:lang w:eastAsia="ru-RU"/>
        </w:rPr>
        <w:t xml:space="preserve"> и заземление оборудования и трубопроводов;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proofErr w:type="gramStart"/>
      <w:r w:rsidRPr="008C2178">
        <w:rPr>
          <w:rFonts w:ascii="Times New Roman" w:eastAsia="Times New Roman" w:hAnsi="Times New Roman" w:cs="Times New Roman"/>
          <w:sz w:val="24"/>
          <w:szCs w:val="24"/>
          <w:lang w:eastAsia="ru-RU"/>
        </w:rPr>
        <w:lastRenderedPageBreak/>
        <w:t>арматура</w:t>
      </w:r>
      <w:proofErr w:type="gramEnd"/>
      <w:r w:rsidRPr="008C2178">
        <w:rPr>
          <w:rFonts w:ascii="Times New Roman" w:eastAsia="Times New Roman" w:hAnsi="Times New Roman" w:cs="Times New Roman"/>
          <w:sz w:val="24"/>
          <w:szCs w:val="24"/>
          <w:lang w:eastAsia="ru-RU"/>
        </w:rPr>
        <w:t>, примененная в проектной документации, имеет класс герметичности А по ГОСТ 9544-2015;</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100% контроль сварных стыков трубопроводов, в том числе физическими методами;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испытание трубопроводов на прочность, плотность, герметичность;</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надземные трубопроводы и арматура </w:t>
      </w:r>
      <w:proofErr w:type="spellStart"/>
      <w:r w:rsidRPr="008C2178">
        <w:rPr>
          <w:rFonts w:ascii="Times New Roman" w:eastAsia="Times New Roman" w:hAnsi="Times New Roman" w:cs="Times New Roman"/>
          <w:sz w:val="24"/>
          <w:szCs w:val="24"/>
          <w:lang w:eastAsia="ru-RU"/>
        </w:rPr>
        <w:t>теплоизолируются</w:t>
      </w:r>
      <w:proofErr w:type="spellEnd"/>
      <w:r w:rsidRPr="008C2178">
        <w:rPr>
          <w:rFonts w:ascii="Times New Roman" w:eastAsia="Times New Roman" w:hAnsi="Times New Roman" w:cs="Times New Roman"/>
          <w:sz w:val="24"/>
          <w:szCs w:val="24"/>
          <w:lang w:eastAsia="ru-RU"/>
        </w:rPr>
        <w:t>.</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В соответствии с ВНТП 03/170/567-87, ВНТП 01/87/04-84 блочные установки, оборудованные автоматическими устройствами сигнализации, имеют автоматическое отключение всех </w:t>
      </w:r>
      <w:proofErr w:type="spellStart"/>
      <w:r w:rsidRPr="008C2178">
        <w:rPr>
          <w:rFonts w:ascii="Times New Roman" w:eastAsia="Times New Roman" w:hAnsi="Times New Roman" w:cs="Times New Roman"/>
          <w:sz w:val="24"/>
          <w:szCs w:val="24"/>
          <w:lang w:eastAsia="ru-RU"/>
        </w:rPr>
        <w:t>электроприемников</w:t>
      </w:r>
      <w:proofErr w:type="spellEnd"/>
      <w:r w:rsidRPr="008C2178">
        <w:rPr>
          <w:rFonts w:ascii="Times New Roman" w:eastAsia="Times New Roman" w:hAnsi="Times New Roman" w:cs="Times New Roman"/>
          <w:sz w:val="24"/>
          <w:szCs w:val="24"/>
          <w:lang w:eastAsia="ru-RU"/>
        </w:rPr>
        <w:t xml:space="preserve"> при возникновении пожара, что позволяет защитить обслуживающий персонал от поражения электрическим током.</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Предложения по внедрению мер, направленных на уменьшение риска аварий, после ввода объекта в эксплуатацию:</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Организация пожарной охраны объектов и взаимодействие с территориальными подразделениями Федеральной противопожарной службы (ФПС) при тушении пожаров.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Организация эксплуатации и надзора за системами противопожарной защиты.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Организация обучения персонала правилам пожарной безопасности.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Организация надзора за соблюдением норм и правил пожарной безопасности.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Разработка инструкций по обеспечению пожарной безопасности и других документов о порядке работы с </w:t>
      </w:r>
      <w:proofErr w:type="spellStart"/>
      <w:r w:rsidRPr="008C2178">
        <w:rPr>
          <w:rFonts w:ascii="Times New Roman" w:eastAsia="Times New Roman" w:hAnsi="Times New Roman" w:cs="Times New Roman"/>
          <w:sz w:val="24"/>
          <w:szCs w:val="24"/>
          <w:lang w:eastAsia="ru-RU"/>
        </w:rPr>
        <w:t>пожаровзрывоопасными</w:t>
      </w:r>
      <w:proofErr w:type="spellEnd"/>
      <w:r w:rsidRPr="008C2178">
        <w:rPr>
          <w:rFonts w:ascii="Times New Roman" w:eastAsia="Times New Roman" w:hAnsi="Times New Roman" w:cs="Times New Roman"/>
          <w:sz w:val="24"/>
          <w:szCs w:val="24"/>
          <w:lang w:eastAsia="ru-RU"/>
        </w:rPr>
        <w:t xml:space="preserve"> веществами и материалами, о соблюдении противопожарного режима и действиях людей при возникновении пожара и т.п.</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Определение порядка эвакуации людей, транспорта, спецтехники с проектируемых объектов при возникновении крупных пожароопасных аварийных ситуаций. Данный порядок должен быть предусмотрен планами ликвидации аварий и планом пожаротушения.</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Соблюдение работающим персоналом требований, правил и норм охраны труда и производственной безопасности, периодическая проверка знаний и допуск к самостоятельной работе.</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Своевременное проведение технического освидетельствования оборудования, трубопроводов, работающих под давлением.</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Постоянная проверка на герметичность технологического оборудования и трубопроводов.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Запрещение работать на неисправном оборудовании и неисправной запорной арматурой, приборах </w:t>
      </w:r>
      <w:proofErr w:type="spellStart"/>
      <w:r w:rsidRPr="008C2178">
        <w:rPr>
          <w:rFonts w:ascii="Times New Roman" w:eastAsia="Times New Roman" w:hAnsi="Times New Roman" w:cs="Times New Roman"/>
          <w:sz w:val="24"/>
          <w:szCs w:val="24"/>
          <w:lang w:eastAsia="ru-RU"/>
        </w:rPr>
        <w:t>КИПиА</w:t>
      </w:r>
      <w:proofErr w:type="spellEnd"/>
      <w:r w:rsidRPr="008C2178">
        <w:rPr>
          <w:rFonts w:ascii="Times New Roman" w:eastAsia="Times New Roman" w:hAnsi="Times New Roman" w:cs="Times New Roman"/>
          <w:sz w:val="24"/>
          <w:szCs w:val="24"/>
          <w:lang w:eastAsia="ru-RU"/>
        </w:rPr>
        <w:t>.</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Постоянный (по графику) государственный и ведомственный надзор по проверке приборов </w:t>
      </w:r>
      <w:proofErr w:type="spellStart"/>
      <w:r w:rsidRPr="008C2178">
        <w:rPr>
          <w:rFonts w:ascii="Times New Roman" w:eastAsia="Times New Roman" w:hAnsi="Times New Roman" w:cs="Times New Roman"/>
          <w:sz w:val="24"/>
          <w:szCs w:val="24"/>
          <w:lang w:eastAsia="ru-RU"/>
        </w:rPr>
        <w:t>КИПиА</w:t>
      </w:r>
      <w:proofErr w:type="spellEnd"/>
      <w:r w:rsidRPr="008C2178">
        <w:rPr>
          <w:rFonts w:ascii="Times New Roman" w:eastAsia="Times New Roman" w:hAnsi="Times New Roman" w:cs="Times New Roman"/>
          <w:sz w:val="24"/>
          <w:szCs w:val="24"/>
          <w:lang w:eastAsia="ru-RU"/>
        </w:rPr>
        <w:t xml:space="preserve"> и их аттестация (поверка).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Периодическая проверка и индивидуальное испытание предохранительных клапанов, запорной арматуры.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Периодическая проверка заземления оборудования и коммуникаций в соответствии с Правилами ПТЭ и ПТБ.</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При загазованности выше ПДК для углеводородов вход в помещение только в проверенных изолирующих противогазах и защитной спецодежде.</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Периодическая проверка за исправностью и работой вентиляционных систем.</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Эксплуатирующей организации откорректировать план ликвидации аварий с учетом проектируемого оборудования.</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Создать необходимый аварийный запас оборудования, материалов и труб, позволяющий ликвидировать последствия чрезвычайных ситуаций, указанные в Плане ликвидации аварий с учетом проектируемого оборудования.</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Помимо вышеперечисленных мер, направленных на уменьшение риска аварий, эксплуатирующей организации необходимо обратить внимание на следующие факторы риска: при изменении нагрузок на персонал проводить своевременную аттестацию рабочих мест.</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lastRenderedPageBreak/>
        <w:t xml:space="preserve">В соответствии с общей политикой МЧС и </w:t>
      </w:r>
      <w:proofErr w:type="spellStart"/>
      <w:r w:rsidRPr="008C2178">
        <w:rPr>
          <w:rFonts w:ascii="Times New Roman" w:eastAsia="Times New Roman" w:hAnsi="Times New Roman" w:cs="Times New Roman"/>
          <w:sz w:val="24"/>
          <w:szCs w:val="24"/>
          <w:lang w:eastAsia="ru-RU"/>
        </w:rPr>
        <w:t>Ростехнадзора</w:t>
      </w:r>
      <w:proofErr w:type="spellEnd"/>
      <w:r w:rsidRPr="008C2178">
        <w:rPr>
          <w:rFonts w:ascii="Times New Roman" w:eastAsia="Times New Roman" w:hAnsi="Times New Roman" w:cs="Times New Roman"/>
          <w:sz w:val="24"/>
          <w:szCs w:val="24"/>
          <w:lang w:eastAsia="ru-RU"/>
        </w:rPr>
        <w:t xml:space="preserve"> реализовывать концепцию комплексной защиты территории от угрозы возникновения ЧС за счет улучшения взаимодействия всех сил и средств под эгидой органов МЧС и администрации.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Предусмотренные проектной документацией мероприятия по </w:t>
      </w:r>
      <w:bookmarkStart w:id="23" w:name="_Toc54767662"/>
      <w:bookmarkStart w:id="24" w:name="_Toc521397924"/>
      <w:bookmarkStart w:id="25" w:name="_Toc466465491"/>
      <w:r w:rsidRPr="008C2178">
        <w:rPr>
          <w:rFonts w:ascii="Times New Roman" w:eastAsia="Times New Roman" w:hAnsi="Times New Roman" w:cs="Times New Roman"/>
          <w:sz w:val="24"/>
          <w:szCs w:val="24"/>
          <w:lang w:eastAsia="ru-RU"/>
        </w:rPr>
        <w:t>инженерной защите проектируемого объекта от чрезвычайных</w:t>
      </w:r>
      <w:bookmarkStart w:id="26" w:name="_Toc54767663"/>
      <w:bookmarkEnd w:id="23"/>
      <w:r w:rsidRPr="008C2178">
        <w:rPr>
          <w:rFonts w:ascii="Times New Roman" w:eastAsia="Times New Roman" w:hAnsi="Times New Roman" w:cs="Times New Roman"/>
          <w:sz w:val="24"/>
          <w:szCs w:val="24"/>
          <w:lang w:eastAsia="ru-RU"/>
        </w:rPr>
        <w:t xml:space="preserve"> ситуаций</w:t>
      </w:r>
      <w:bookmarkEnd w:id="24"/>
      <w:bookmarkEnd w:id="25"/>
      <w:r w:rsidRPr="008C2178">
        <w:rPr>
          <w:rFonts w:ascii="Times New Roman" w:eastAsia="Times New Roman" w:hAnsi="Times New Roman" w:cs="Times New Roman"/>
          <w:sz w:val="24"/>
          <w:szCs w:val="24"/>
          <w:lang w:eastAsia="ru-RU"/>
        </w:rPr>
        <w:t xml:space="preserve"> </w:t>
      </w:r>
      <w:bookmarkStart w:id="27" w:name="_Toc521397925"/>
      <w:bookmarkStart w:id="28" w:name="_Toc466465492"/>
      <w:r w:rsidRPr="008C2178">
        <w:rPr>
          <w:rFonts w:ascii="Times New Roman" w:eastAsia="Times New Roman" w:hAnsi="Times New Roman" w:cs="Times New Roman"/>
          <w:sz w:val="24"/>
          <w:szCs w:val="24"/>
          <w:lang w:eastAsia="ru-RU"/>
        </w:rPr>
        <w:t>природного характера, вызванных опасными природными</w:t>
      </w:r>
      <w:bookmarkStart w:id="29" w:name="_Toc54767664"/>
      <w:bookmarkEnd w:id="26"/>
      <w:r w:rsidRPr="008C2178">
        <w:rPr>
          <w:rFonts w:ascii="Times New Roman" w:eastAsia="Times New Roman" w:hAnsi="Times New Roman" w:cs="Times New Roman"/>
          <w:sz w:val="24"/>
          <w:szCs w:val="24"/>
          <w:lang w:eastAsia="ru-RU"/>
        </w:rPr>
        <w:t xml:space="preserve"> процессами и</w:t>
      </w:r>
      <w:bookmarkEnd w:id="27"/>
      <w:bookmarkEnd w:id="28"/>
      <w:r w:rsidRPr="008C2178">
        <w:rPr>
          <w:rFonts w:ascii="Times New Roman" w:eastAsia="Times New Roman" w:hAnsi="Times New Roman" w:cs="Times New Roman"/>
          <w:sz w:val="24"/>
          <w:szCs w:val="24"/>
          <w:lang w:eastAsia="ru-RU"/>
        </w:rPr>
        <w:t xml:space="preserve"> </w:t>
      </w:r>
      <w:bookmarkStart w:id="30" w:name="_Toc521397926"/>
      <w:bookmarkStart w:id="31" w:name="_Toc466465493"/>
      <w:r w:rsidRPr="008C2178">
        <w:rPr>
          <w:rFonts w:ascii="Times New Roman" w:eastAsia="Times New Roman" w:hAnsi="Times New Roman" w:cs="Times New Roman"/>
          <w:sz w:val="24"/>
          <w:szCs w:val="24"/>
          <w:lang w:eastAsia="ru-RU"/>
        </w:rPr>
        <w:t>явлениями</w:t>
      </w:r>
      <w:bookmarkEnd w:id="29"/>
      <w:bookmarkEnd w:id="30"/>
      <w:bookmarkEnd w:id="31"/>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В проектной документации предусмотрены технические решения, направленные на максимальное снижение негативных воздействии особо опасных природных явлений (атмосферная коррозия, ветровые нагрузки, выпадение снега, низкие температуры, сильные морозы):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выбор материала опорных конструкций под оборудование из условий эксплуатации;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окраска металлических частей строительных конструкций;</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площадки обслуживания и блоки подняты на высоту (от заноса снегом);</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материалы технологического оборудования, трубопроводов и строительных конструкций приняты с учетом низких температур, ветровых нагрузок, снега, льда;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выбор материала труб, арматуры из условий эксплуатации;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антикоррозийная защита наружных поверхностей арматуры, стальных участков трубопроводов;</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применение труб с повышенными прочностными характеристиками с толщиной стенки, значительно превышающей расчетную;</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подземные участки трубопровода покрыты антикоррозийной изоляцией усиленного типа;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xml:space="preserve">- надземные трубопроводы и оборудование </w:t>
      </w:r>
      <w:proofErr w:type="spellStart"/>
      <w:r w:rsidRPr="008C2178">
        <w:rPr>
          <w:rFonts w:ascii="Times New Roman" w:eastAsia="Times New Roman" w:hAnsi="Times New Roman" w:cs="Times New Roman"/>
          <w:sz w:val="24"/>
          <w:szCs w:val="24"/>
          <w:lang w:eastAsia="ru-RU"/>
        </w:rPr>
        <w:t>теплоизолируются</w:t>
      </w:r>
      <w:proofErr w:type="spellEnd"/>
      <w:r w:rsidRPr="008C2178">
        <w:rPr>
          <w:rFonts w:ascii="Times New Roman" w:eastAsia="Times New Roman" w:hAnsi="Times New Roman" w:cs="Times New Roman"/>
          <w:sz w:val="24"/>
          <w:szCs w:val="24"/>
          <w:lang w:eastAsia="ru-RU"/>
        </w:rPr>
        <w:t>.</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К опасным гидрометеорологическим процессам в районе строительства относится: подтопление, ураганные ветры (смерчи), снежные заносы, гололёд.</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Площадочные объекты.</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Основными мероприятиями инженерной подготовки являются:</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создание искусственных насыпных оснований с превышением бровки насыпи над уровнем грунтовых вод и болота, создающее безопасные условия для работы строительной техники, технологического оборудования и людей в период строительства и эксплуатации объекта;</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защита (укрепление) откосов проектируемых площадок от ветровой и водной эрозии;</w:t>
      </w:r>
    </w:p>
    <w:p w:rsidR="008C2178" w:rsidRPr="008C2178" w:rsidRDefault="008C2178" w:rsidP="008C21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8C2178">
        <w:rPr>
          <w:rFonts w:ascii="Times New Roman" w:eastAsia="Times New Roman" w:hAnsi="Times New Roman" w:cs="Times New Roman"/>
          <w:sz w:val="24"/>
          <w:szCs w:val="24"/>
          <w:lang w:eastAsia="ru-RU"/>
        </w:rPr>
        <w:t>– устройство обвалования из песка по всему периметру кустовых оснований и площадки скважины высотой 1 м и шириной по верху 0,5 м.</w:t>
      </w:r>
    </w:p>
    <w:bookmarkEnd w:id="1"/>
    <w:bookmarkEnd w:id="2"/>
    <w:bookmarkEnd w:id="3"/>
    <w:p w:rsidR="00866857" w:rsidRPr="00866857" w:rsidRDefault="00866857" w:rsidP="00CF1F08">
      <w:pPr>
        <w:ind w:right="141"/>
        <w:jc w:val="center"/>
      </w:pPr>
    </w:p>
    <w:sectPr w:rsidR="00866857" w:rsidRPr="00866857" w:rsidSect="003F2EEF">
      <w:footerReference w:type="default" r:id="rId9"/>
      <w:pgSz w:w="11907" w:h="16839" w:code="9"/>
      <w:pgMar w:top="567" w:right="567" w:bottom="284" w:left="1134" w:header="17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CE4" w:rsidRDefault="00096CE4" w:rsidP="006A43E2">
      <w:pPr>
        <w:spacing w:after="0" w:line="240" w:lineRule="auto"/>
      </w:pPr>
      <w:r>
        <w:separator/>
      </w:r>
    </w:p>
  </w:endnote>
  <w:endnote w:type="continuationSeparator" w:id="0">
    <w:p w:rsidR="00096CE4" w:rsidRDefault="00096CE4" w:rsidP="006A4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Segoe Script"/>
    <w:charset w:val="00"/>
    <w:family w:val="swiss"/>
    <w:pitch w:val="variable"/>
    <w:sig w:usb0="00000001" w:usb1="00000000" w:usb2="00000000" w:usb3="00000000" w:csb0="0000001B"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1AF" w:rsidRDefault="009701AF" w:rsidP="009701AF">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CE4" w:rsidRDefault="00096CE4" w:rsidP="006A43E2">
      <w:pPr>
        <w:spacing w:after="0" w:line="240" w:lineRule="auto"/>
      </w:pPr>
      <w:r>
        <w:separator/>
      </w:r>
    </w:p>
  </w:footnote>
  <w:footnote w:type="continuationSeparator" w:id="0">
    <w:p w:rsidR="00096CE4" w:rsidRDefault="00096CE4" w:rsidP="006A43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EA45D8"/>
    <w:multiLevelType w:val="hybridMultilevel"/>
    <w:tmpl w:val="95DEE2A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
    <w:nsid w:val="3E226D22"/>
    <w:multiLevelType w:val="hybridMultilevel"/>
    <w:tmpl w:val="F6665BD8"/>
    <w:lvl w:ilvl="0" w:tplc="CB925234">
      <w:start w:val="1"/>
      <w:numFmt w:val="bullet"/>
      <w:lvlText w:val="–"/>
      <w:lvlJc w:val="left"/>
      <w:pPr>
        <w:tabs>
          <w:tab w:val="num" w:pos="2385"/>
        </w:tabs>
        <w:ind w:left="2385" w:hanging="454"/>
      </w:pPr>
      <w:rPr>
        <w:rFonts w:ascii="Swis721 LtEx BT" w:hAnsi="Swis721 LtEx BT" w:hint="default"/>
      </w:rPr>
    </w:lvl>
    <w:lvl w:ilvl="1" w:tplc="04190003" w:tentative="1">
      <w:start w:val="1"/>
      <w:numFmt w:val="bullet"/>
      <w:lvlText w:val="o"/>
      <w:lvlJc w:val="left"/>
      <w:pPr>
        <w:tabs>
          <w:tab w:val="num" w:pos="1687"/>
        </w:tabs>
        <w:ind w:left="1687" w:hanging="360"/>
      </w:pPr>
      <w:rPr>
        <w:rFonts w:ascii="Courier New" w:hAnsi="Courier New" w:cs="Courier New" w:hint="default"/>
      </w:rPr>
    </w:lvl>
    <w:lvl w:ilvl="2" w:tplc="04190005" w:tentative="1">
      <w:start w:val="1"/>
      <w:numFmt w:val="bullet"/>
      <w:lvlText w:val=""/>
      <w:lvlJc w:val="left"/>
      <w:pPr>
        <w:tabs>
          <w:tab w:val="num" w:pos="2407"/>
        </w:tabs>
        <w:ind w:left="2407" w:hanging="360"/>
      </w:pPr>
      <w:rPr>
        <w:rFonts w:ascii="Wingdings" w:hAnsi="Wingdings" w:hint="default"/>
      </w:rPr>
    </w:lvl>
    <w:lvl w:ilvl="3" w:tplc="04190001" w:tentative="1">
      <w:start w:val="1"/>
      <w:numFmt w:val="bullet"/>
      <w:lvlText w:val=""/>
      <w:lvlJc w:val="left"/>
      <w:pPr>
        <w:tabs>
          <w:tab w:val="num" w:pos="3127"/>
        </w:tabs>
        <w:ind w:left="3127" w:hanging="360"/>
      </w:pPr>
      <w:rPr>
        <w:rFonts w:ascii="Symbol" w:hAnsi="Symbol" w:hint="default"/>
      </w:rPr>
    </w:lvl>
    <w:lvl w:ilvl="4" w:tplc="04190003" w:tentative="1">
      <w:start w:val="1"/>
      <w:numFmt w:val="bullet"/>
      <w:lvlText w:val="o"/>
      <w:lvlJc w:val="left"/>
      <w:pPr>
        <w:tabs>
          <w:tab w:val="num" w:pos="3847"/>
        </w:tabs>
        <w:ind w:left="3847" w:hanging="360"/>
      </w:pPr>
      <w:rPr>
        <w:rFonts w:ascii="Courier New" w:hAnsi="Courier New" w:cs="Courier New" w:hint="default"/>
      </w:rPr>
    </w:lvl>
    <w:lvl w:ilvl="5" w:tplc="04190005" w:tentative="1">
      <w:start w:val="1"/>
      <w:numFmt w:val="bullet"/>
      <w:lvlText w:val=""/>
      <w:lvlJc w:val="left"/>
      <w:pPr>
        <w:tabs>
          <w:tab w:val="num" w:pos="4567"/>
        </w:tabs>
        <w:ind w:left="4567" w:hanging="360"/>
      </w:pPr>
      <w:rPr>
        <w:rFonts w:ascii="Wingdings" w:hAnsi="Wingdings" w:hint="default"/>
      </w:rPr>
    </w:lvl>
    <w:lvl w:ilvl="6" w:tplc="04190001" w:tentative="1">
      <w:start w:val="1"/>
      <w:numFmt w:val="bullet"/>
      <w:lvlText w:val=""/>
      <w:lvlJc w:val="left"/>
      <w:pPr>
        <w:tabs>
          <w:tab w:val="num" w:pos="5287"/>
        </w:tabs>
        <w:ind w:left="5287" w:hanging="360"/>
      </w:pPr>
      <w:rPr>
        <w:rFonts w:ascii="Symbol" w:hAnsi="Symbol" w:hint="default"/>
      </w:rPr>
    </w:lvl>
    <w:lvl w:ilvl="7" w:tplc="04190003" w:tentative="1">
      <w:start w:val="1"/>
      <w:numFmt w:val="bullet"/>
      <w:lvlText w:val="o"/>
      <w:lvlJc w:val="left"/>
      <w:pPr>
        <w:tabs>
          <w:tab w:val="num" w:pos="6007"/>
        </w:tabs>
        <w:ind w:left="6007" w:hanging="360"/>
      </w:pPr>
      <w:rPr>
        <w:rFonts w:ascii="Courier New" w:hAnsi="Courier New" w:cs="Courier New" w:hint="default"/>
      </w:rPr>
    </w:lvl>
    <w:lvl w:ilvl="8" w:tplc="04190005" w:tentative="1">
      <w:start w:val="1"/>
      <w:numFmt w:val="bullet"/>
      <w:lvlText w:val=""/>
      <w:lvlJc w:val="left"/>
      <w:pPr>
        <w:tabs>
          <w:tab w:val="num" w:pos="6727"/>
        </w:tabs>
        <w:ind w:left="672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6A43E2"/>
    <w:rsid w:val="00020EF0"/>
    <w:rsid w:val="00096CE4"/>
    <w:rsid w:val="000B6BC8"/>
    <w:rsid w:val="000F3FE7"/>
    <w:rsid w:val="001A5489"/>
    <w:rsid w:val="00226B61"/>
    <w:rsid w:val="002A527A"/>
    <w:rsid w:val="002E6278"/>
    <w:rsid w:val="003705D2"/>
    <w:rsid w:val="003A2EC9"/>
    <w:rsid w:val="003E20E3"/>
    <w:rsid w:val="003F2EEF"/>
    <w:rsid w:val="00476E40"/>
    <w:rsid w:val="005334C6"/>
    <w:rsid w:val="006A0467"/>
    <w:rsid w:val="006A1BC6"/>
    <w:rsid w:val="006A43E2"/>
    <w:rsid w:val="006D4B63"/>
    <w:rsid w:val="006E2A31"/>
    <w:rsid w:val="007B16FD"/>
    <w:rsid w:val="00825E07"/>
    <w:rsid w:val="00866857"/>
    <w:rsid w:val="008C2178"/>
    <w:rsid w:val="009403AB"/>
    <w:rsid w:val="00940A90"/>
    <w:rsid w:val="009701AF"/>
    <w:rsid w:val="00970CF0"/>
    <w:rsid w:val="009E231D"/>
    <w:rsid w:val="00A168EE"/>
    <w:rsid w:val="00AC508B"/>
    <w:rsid w:val="00AF176D"/>
    <w:rsid w:val="00B93D86"/>
    <w:rsid w:val="00BB15E9"/>
    <w:rsid w:val="00C53E17"/>
    <w:rsid w:val="00CF1F08"/>
    <w:rsid w:val="00D232F3"/>
    <w:rsid w:val="00DD6B4A"/>
    <w:rsid w:val="00E06F5F"/>
    <w:rsid w:val="00E12360"/>
    <w:rsid w:val="00E6062F"/>
    <w:rsid w:val="00F23D9B"/>
    <w:rsid w:val="00F64FF8"/>
    <w:rsid w:val="00FB0452"/>
    <w:rsid w:val="00FE7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5C5B5193-4C58-4AB9-B905-71AFE0263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16FD"/>
  </w:style>
  <w:style w:type="paragraph" w:styleId="1">
    <w:name w:val="heading 1"/>
    <w:basedOn w:val="a"/>
    <w:next w:val="a"/>
    <w:link w:val="10"/>
    <w:uiPriority w:val="9"/>
    <w:qFormat/>
    <w:rsid w:val="007B16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16FD"/>
    <w:rPr>
      <w:rFonts w:asciiTheme="majorHAnsi" w:eastAsiaTheme="majorEastAsia" w:hAnsiTheme="majorHAnsi" w:cstheme="majorBidi"/>
      <w:b/>
      <w:bCs/>
      <w:color w:val="365F91" w:themeColor="accent1" w:themeShade="BF"/>
      <w:sz w:val="28"/>
      <w:szCs w:val="28"/>
    </w:rPr>
  </w:style>
  <w:style w:type="paragraph" w:styleId="a3">
    <w:name w:val="header"/>
    <w:aliases w:val="??????? ??????????,Верхний колонтитул Знак1 Знак,Верхний колонтитул Знак Знак Знак"/>
    <w:basedOn w:val="a"/>
    <w:link w:val="a4"/>
    <w:uiPriority w:val="99"/>
    <w:unhideWhenUsed/>
    <w:rsid w:val="006A43E2"/>
    <w:pPr>
      <w:tabs>
        <w:tab w:val="center" w:pos="4677"/>
        <w:tab w:val="right" w:pos="9355"/>
      </w:tabs>
      <w:spacing w:after="0" w:line="240" w:lineRule="auto"/>
    </w:pPr>
  </w:style>
  <w:style w:type="character" w:customStyle="1" w:styleId="a4">
    <w:name w:val="Верхний колонтитул Знак"/>
    <w:aliases w:val="??????? ?????????? Знак,Верхний колонтитул Знак1 Знак Знак,Верхний колонтитул Знак Знак Знак Знак"/>
    <w:basedOn w:val="a0"/>
    <w:link w:val="a3"/>
    <w:uiPriority w:val="99"/>
    <w:rsid w:val="006A43E2"/>
  </w:style>
  <w:style w:type="paragraph" w:styleId="a5">
    <w:name w:val="footer"/>
    <w:basedOn w:val="a"/>
    <w:link w:val="a6"/>
    <w:uiPriority w:val="99"/>
    <w:semiHidden/>
    <w:unhideWhenUsed/>
    <w:rsid w:val="006A43E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6A43E2"/>
  </w:style>
  <w:style w:type="table" w:styleId="a7">
    <w:name w:val="Table Grid"/>
    <w:basedOn w:val="a1"/>
    <w:rsid w:val="006A43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0F3F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F3FE7"/>
    <w:rPr>
      <w:rFonts w:ascii="Tahoma" w:hAnsi="Tahoma" w:cs="Tahoma"/>
      <w:sz w:val="16"/>
      <w:szCs w:val="16"/>
    </w:rPr>
  </w:style>
  <w:style w:type="paragraph" w:customStyle="1" w:styleId="aa">
    <w:name w:val="Обычн. текст"/>
    <w:basedOn w:val="ab"/>
    <w:qFormat/>
    <w:rsid w:val="008C2178"/>
    <w:pPr>
      <w:spacing w:after="0" w:line="360" w:lineRule="auto"/>
      <w:ind w:left="0" w:right="170" w:firstLine="709"/>
      <w:jc w:val="both"/>
    </w:pPr>
    <w:rPr>
      <w:rFonts w:ascii="Times New Roman" w:eastAsia="Times New Roman" w:hAnsi="Times New Roman" w:cs="Times New Roman"/>
      <w:sz w:val="24"/>
      <w:szCs w:val="24"/>
      <w:lang w:eastAsia="ru-RU"/>
    </w:rPr>
  </w:style>
  <w:style w:type="paragraph" w:styleId="ab">
    <w:name w:val="List Paragraph"/>
    <w:aliases w:val="List Paragraph1"/>
    <w:basedOn w:val="a"/>
    <w:link w:val="ac"/>
    <w:uiPriority w:val="99"/>
    <w:qFormat/>
    <w:rsid w:val="008C2178"/>
    <w:pPr>
      <w:ind w:left="720"/>
      <w:contextualSpacing/>
    </w:pPr>
  </w:style>
  <w:style w:type="paragraph" w:styleId="2">
    <w:name w:val="Body Text 2"/>
    <w:basedOn w:val="a"/>
    <w:link w:val="20"/>
    <w:uiPriority w:val="99"/>
    <w:rsid w:val="008C2178"/>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C2178"/>
    <w:rPr>
      <w:rFonts w:ascii="Calibri" w:eastAsia="Times New Roman" w:hAnsi="Calibri" w:cs="Times New Roman"/>
    </w:rPr>
  </w:style>
  <w:style w:type="character" w:customStyle="1" w:styleId="ac">
    <w:name w:val="Абзац списка Знак"/>
    <w:aliases w:val="List Paragraph1 Знак"/>
    <w:link w:val="ab"/>
    <w:uiPriority w:val="99"/>
    <w:rsid w:val="008C2178"/>
  </w:style>
  <w:style w:type="paragraph" w:customStyle="1" w:styleId="ConsPlusNormal">
    <w:name w:val="ConsPlusNormal"/>
    <w:rsid w:val="008C2178"/>
    <w:pPr>
      <w:widowControl w:val="0"/>
      <w:autoSpaceDE w:val="0"/>
      <w:autoSpaceDN w:val="0"/>
      <w:spacing w:after="0" w:line="240" w:lineRule="auto"/>
    </w:pPr>
    <w:rPr>
      <w:rFonts w:ascii="Calibri" w:eastAsia="Times New Roman" w:hAnsi="Calibri" w:cs="Calibri"/>
      <w:szCs w:val="20"/>
      <w:lang w:eastAsia="ru-RU"/>
    </w:rPr>
  </w:style>
  <w:style w:type="paragraph" w:customStyle="1" w:styleId="ad">
    <w:name w:val="Основной тескт"/>
    <w:basedOn w:val="a"/>
    <w:link w:val="ae"/>
    <w:qFormat/>
    <w:rsid w:val="008C2178"/>
    <w:pPr>
      <w:spacing w:after="0" w:line="360" w:lineRule="auto"/>
      <w:ind w:firstLine="567"/>
      <w:jc w:val="both"/>
    </w:pPr>
    <w:rPr>
      <w:rFonts w:ascii="Times New Roman" w:eastAsia="Times New Roman" w:hAnsi="Times New Roman" w:cs="Times New Roman"/>
      <w:sz w:val="24"/>
      <w:szCs w:val="20"/>
      <w:lang w:eastAsia="ru-RU"/>
    </w:rPr>
  </w:style>
  <w:style w:type="character" w:customStyle="1" w:styleId="ae">
    <w:name w:val="Основной тескт Знак"/>
    <w:basedOn w:val="a0"/>
    <w:link w:val="ad"/>
    <w:locked/>
    <w:rsid w:val="008C2178"/>
    <w:rPr>
      <w:rFonts w:ascii="Times New Roman" w:eastAsia="Times New Roman" w:hAnsi="Times New Roman" w:cs="Times New Roman"/>
      <w:sz w:val="24"/>
      <w:szCs w:val="20"/>
      <w:lang w:eastAsia="ru-RU"/>
    </w:rPr>
  </w:style>
  <w:style w:type="paragraph" w:customStyle="1" w:styleId="af">
    <w:name w:val="Текст основной ПЗ"/>
    <w:basedOn w:val="a"/>
    <w:link w:val="af0"/>
    <w:qFormat/>
    <w:rsid w:val="008C2178"/>
    <w:pPr>
      <w:spacing w:before="120" w:after="120" w:line="240" w:lineRule="auto"/>
      <w:ind w:firstLine="720"/>
      <w:jc w:val="both"/>
    </w:pPr>
    <w:rPr>
      <w:rFonts w:ascii="Times New Roman" w:eastAsia="Times New Roman" w:hAnsi="Times New Roman" w:cs="Times New Roman"/>
      <w:sz w:val="24"/>
      <w:szCs w:val="24"/>
      <w:lang w:eastAsia="ru-RU"/>
    </w:rPr>
  </w:style>
  <w:style w:type="character" w:customStyle="1" w:styleId="af0">
    <w:name w:val="Текст основной ПЗ Знак"/>
    <w:basedOn w:val="a0"/>
    <w:link w:val="af"/>
    <w:locked/>
    <w:rsid w:val="008C2178"/>
    <w:rPr>
      <w:rFonts w:ascii="Times New Roman" w:eastAsia="Times New Roman" w:hAnsi="Times New Roman" w:cs="Times New Roman"/>
      <w:sz w:val="24"/>
      <w:szCs w:val="24"/>
      <w:lang w:eastAsia="ru-RU"/>
    </w:rPr>
  </w:style>
  <w:style w:type="paragraph" w:customStyle="1" w:styleId="af1">
    <w:name w:val="Название табл"/>
    <w:aliases w:val="таблицы,Знак3,Название Знак1,Название Знак Знак,Çàãîëîâîê,Знак9 Знак Знак Знак1,Знак9 Знак1 Знак,Название Знак Знак1,Знак9 Знак Знак1,Знак4 Знак1,Знак9 Знак Знак,Знак9 Знак1,Знак9 Знак,Назва"/>
    <w:basedOn w:val="a"/>
    <w:next w:val="af2"/>
    <w:qFormat/>
    <w:rsid w:val="008C2178"/>
    <w:pPr>
      <w:spacing w:after="0" w:line="240" w:lineRule="auto"/>
      <w:jc w:val="center"/>
    </w:pPr>
    <w:rPr>
      <w:rFonts w:ascii="Times New Roman" w:eastAsia="Times New Roman" w:hAnsi="Times New Roman" w:cs="Times New Roman"/>
      <w:b/>
      <w:sz w:val="28"/>
      <w:szCs w:val="20"/>
      <w:lang w:eastAsia="ru-RU"/>
    </w:rPr>
  </w:style>
  <w:style w:type="paragraph" w:styleId="af2">
    <w:name w:val="Title"/>
    <w:basedOn w:val="a"/>
    <w:next w:val="a"/>
    <w:link w:val="af3"/>
    <w:uiPriority w:val="10"/>
    <w:qFormat/>
    <w:rsid w:val="008C21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Название Знак"/>
    <w:basedOn w:val="a0"/>
    <w:link w:val="af2"/>
    <w:uiPriority w:val="10"/>
    <w:rsid w:val="008C2178"/>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7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15BF87-6A8D-46CF-B1C8-1FE52C7B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12</Pages>
  <Words>4345</Words>
  <Characters>24772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Светлана Неустроева</cp:lastModifiedBy>
  <cp:revision>10</cp:revision>
  <dcterms:created xsi:type="dcterms:W3CDTF">2021-02-03T08:53:00Z</dcterms:created>
  <dcterms:modified xsi:type="dcterms:W3CDTF">2021-06-10T10:54:00Z</dcterms:modified>
</cp:coreProperties>
</file>